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Size-Response Reanalysis and Segmentation Benchmark</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tested whether baseline organoid size changes the forskolin-induced swelling response to CFTR modulators in a public, single-organoid dataset. Across 17 CF donors, the exploratory elexacaftor/tezacaftor/ivacaftor minus DMSO log-swelling contrast rose from 0.336 [0.262, 0.405] in the smallest starting-size octile toward 0.55-0.64 in larger octiles. Top minus bottom was 0.251 [0.184, 0.323] by donor bootstrap. In a separately locked pre-scoring donor-block reanalysis, 31 eligible donor x experiment x dose blocks from 12 donors gave a treatment-by-large mixed-model coefficient of +0.252815 (positive-direction one-sided p=0.00001151); a 4,096-assignment exact donor-level sign flip gave p=0.002930. These are within-accession, magnitude-aware results, not independent replication or a clinical predictor. The original sign-only test remained 9/12 (p=0.073), and a zero-forskolin specificity test remained 3/11 (p=0.967); the source tabular tracks permit a bounded attrition check, but missing pixels and never-detected objects prevent a definitive selection-artifact audit.</w:t>
      </w:r>
    </w:p>
    <w:p>
      <w:pPr>
        <w:spacing w:after="120"/>
        <w:jc w:val="both"/>
      </w:pPr>
      <w:r>
        <w:rPr>
          <w:rFonts w:ascii="Times New Roman" w:hAnsi="Times New Roman" w:eastAsia="Times New Roman"/>
        </w:rPr>
        <w:t>A separate train-only U-Net reached author-scored AP50 0.761108 against a rounded published 0.76. This is a numerical scorer comparison only: image and instance-mask checks identified repeated acquisition fields crossing train/evaluation and train/validation filenames, so the result cannot support an independent benchmark-beat claim. Across three cross-split repeated-field pairs, 61, 40, and 50 labeled organoids match at instance IoU at least 0.5; paired masks show retrospective boundary and area variability, not a human inter-rater ceiling. A new acquisition-group-disjoint test is required. The repository preserves all gate outcomes, code and negative controls while the paper focuses on the measured size interaction and split-integrity discovery.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11.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12.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13.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14.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15.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16.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17.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18.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19.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20.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21.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