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Does Starting Organoid Size Modify the CFTR-Modulator Swelling Response? A Size-Aware, Missing-Data-Robust Computational Pipeline for Single-Organoid Response Analysis</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does starting organoid size modify the CFTR-modulator swelling response of single intestinal organoids after accounting for track attrition?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tracked organoids are not a random subset, because endpoint observability varies with starting size, treatment arm and local crowding. We quantify, with donor-clustered observability models, stratified neighbor analysis, track-retention tables and missing-endpoint bounds, how much of an apparent size contrast such structured attrition can create or hide. This size-aware, missing-data-robust pipeline is the part of the work other CFTR swelling studies can reuse.</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does starting organoid size modify the CFTR-modulator swelling response of single intestinal organoids after accounting for track attrition?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13.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14.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15.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16.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17.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18.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19.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20.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21.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22.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23.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24.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48.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54.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