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5.1.2e Viewed human-gut candidate: exact IDs, uncertain biological units</w:t>
      </w:r>
    </w:p>
    <w:p>
      <w:pPr>
        <w:spacing w:after="120"/>
        <w:jc w:val="both"/>
      </w:pPr>
      <w:r>
        <w:t>MGYS00005154 is an old human-digestive archive table with a human-gut study title, current amplicon-labeled analyses, and complete human-host names in the prior source screen. To test whether those aggregate labels belong to the old audit data rather than to other runs in the same study, we froze an exact run-ID-to-analysis-and-sample join before opening its source table. The public pipeline-5.0 SSU snapshot reproduces 529 nonzero raw sample columns and 779 genera from the manifest. The old audit's top-150-taxon and 400-sample caps yield exactly 400 columns and 150 genera, matching its archived dimensions. All 529 raw and all 400 retained column run IDs are found in the current fully paged MGnify analysis list. This is source-column identity evidence on already-viewed data, not a new model result.</w:t>
      </w:r>
    </w:p>
    <w:p>
      <w:pPr>
        <w:spacing w:after="120"/>
        <w:jc w:val="both"/>
      </w:pPr>
      <w:r>
        <w:t>The current endpoint contains 965 analyses and 529 sample records, but analysis count does not equal biological count. Among the 400 retained run IDs, 320 have two analysis records and 80 have one. We selected exactly one pipeline-5.0 analysis per retained run because the source file explicitly names that pipeline version. Different versions of the same run agree on their linked sample ID in this check. The selected 400 analysis records are amplicon-labeled and link to 400 distinct sample accessions with explicit Homo sapiens host names and normalized Homo sapiens labels. This advances exact archive-column mapping in the metadata matrix, while leaving the independent-family field unknown.</w:t>
      </w:r>
    </w:p>
    <w:p>
      <w:pPr>
        <w:spacing w:after="120"/>
        <w:jc w:val="both"/>
      </w:pPr>
      <w:r>
        <w:t>Collection-site evidence is weaker than the word 'gut' suggests: all 400 linked sample descriptions repeat the study-level phrase 'Human gut microbiome differentiation viewed across cultures, ages and families', and the current sample metadata provide no separate explicit body-site field among these records. The description supports a gut-oriented source, but does not independently prove each collected specimen's anatomical site or wet-lab assay. Nor do 400 distinct sample accessions prove 400 unrelated people or an independent source family. Rights, participant grouping, project overlap and untouched split remain unverified. The gate therefore blocks final human-gut amplicon admission on family independence even though five other metadata fields pass for this candidate; passing that sixth check would still require manual validation. No score or BH result was changed. Exact source URLs, response hashes, pipeline-version counts and aggregate sample descriptions: results/gut_candidate_column_identity.json; locked method: results/PREREG_20260927_gut_candidate_column_identity.md.</w:t>
      </w:r>
    </w:p>
    <w:p>
      <w:pPr>
        <w:pStyle w:val="Heading3"/>
      </w:pPr>
      <w:r>
        <w:t>5.1.2f Exact old-column mapping reveals a site-code contradiction</w:t>
      </w:r>
    </w:p>
    <w:p>
      <w:pPr>
        <w:spacing w:after="120"/>
        <w:jc w:val="both"/>
      </w:pPr>
      <w:r>
        <w:t>MGYS00006794 has a title describing longitudinal stool and oral communities in patients with multiple sclerosis, but the archived biome places it under Human:Digestive system. We fixed an exact source-column site check before reading its original pipeline-5.0 SSU file and current MGnify analyses and samples. The source table has 184 nonzero run columns and 439 collapsed genera; after the original prevalence and top-150 filters, 184 columns and 150 genera reproduce its archived audit dimensions. All 184 old run IDs exact-match one current pipeline-5.0 analysis each, and these point to 184 distinct current sample accessions. This establishes that the site codes examined belong to the actual old table columns rather than to unrelated samples in the study.</w:t>
      </w:r>
    </w:p>
    <w:p>
      <w:pPr>
        <w:spacing w:after="120"/>
        <w:jc w:val="both"/>
      </w:pPr>
      <w:r>
        <w:t>Each linked sample's structured environment-material field is UBERON:0002097, which the EMBL-EBI Ontology Lookup Service labels 'skin of body'. Each linked environment-feature field is ENVO:2100003, labeled 'skin environment'. The source's free-text descriptions distinguish multiple-sclerosis treatment phases and controls, not the specimen site. Its normalized species is Homo sapiens, but no usable explicit host scientific name was supplied in these sample records. Thus there is a direct structured-site-versus-study-text/biome metadata conflict on all 184 archived columns. We do not adjudicate specimen tissue by choosing the structured codes or the title: either the site codes or the higher-level classification may be mistaken, and the original wet-lab record would have to settle which source actually produced the table.</w:t>
      </w:r>
    </w:p>
    <w:p>
      <w:pPr>
        <w:spacing w:after="120"/>
        <w:jc w:val="both"/>
      </w:pPr>
      <w:r>
        <w:t>This finding required a dated amendment of the admission prototype. The prior six-field gate tested host identity but conflated a human host with a human GUT sample. A separate seventh `human_gut_site_compatible` field now blocks unknown or conflicting collection site. MGYS00006794's field is false from the structured-site mismatch; MGYS00002238 is false from exact linked oral sample descriptions; the other six are unknown pending sample-specific site evidence. These are metadata blockers, not a retrospective assay-stratified performance analysis, and all eight viewed records remain blocked. None of the 160 original BH-adjusted calls or old within-study scores changed. The amendment is explicitly dated after this source check, not passed off as a rule frozen before the original audit. Source response and ontology hashes: results/mixed_site_column_identity.json; protocol and site-axis amendment: results/PREREG_20260927_mixed_site_column_identity.md and results/PREREG_20260927_site_gate_amendment.md.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four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source screen moved from abstracts to MGnify analysis records and sample-host metadata without mapping historical SSU abundance columns to analyses. Later exact joins in Sections 5.1.2c-f supply those maps for four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four viewed records are given in Sections 5.1.2c-f;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The original matrix emitted a six-field status vector for each of the eight old title-unflagged digestive records; a seventh site field was added after the mixed-site conflict was found. It separates analysis pagination, uniform analysis type, sample pagination, explicit host compatibility, archive-column mapping, biological-family independence and the newly amended gut-site compatibility. `Unknown` is an intentional output rather than a false value that someone can accidentally average away. The uncompleted eighth source is unknown on every dimension. Four later exact run-to-sample joins have verified old-column maps: MGYS00006755 fails host compatibility; MGYS00002238 is oral saliva/plaque; MGYS00006794 has conflicting structured skin-site codes; and MGYS00005154 has a gut-oriented description without an independent-family certificate. The other four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M5154, M6755 and M6794 have exact old SSU run-column maps. M2238 is oral, M6794 has conflicting skin-site codes, M6755 has a host conflict; all eight lack an independent-family certificate.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w:t>
            </w:r>
          </w:p>
        </w:tc>
        <w:tc>
          <w:tcPr>
            <w:tcW w:type="dxa" w:w="1234"/>
            <w:vAlign w:val="center"/>
          </w:tcPr>
          <w:p>
            <w:pPr>
              <w:jc w:val="left"/>
            </w:pPr>
            <w:r>
              <w:rPr>
                <w:rFonts w:ascii="Times New Roman" w:hAnsi="Times New Roman"/>
                <w:sz w:val="18"/>
              </w:rPr>
              <w:t>analysis type</w:t>
            </w:r>
          </w:p>
        </w:tc>
        <w:tc>
          <w:tcPr>
            <w:tcW w:type="dxa" w:w="1234"/>
            <w:vAlign w:val="center"/>
          </w:tcPr>
          <w:p>
            <w:pPr>
              <w:jc w:val="left"/>
            </w:pPr>
            <w:r>
              <w:rPr>
                <w:rFonts w:ascii="Times New Roman" w:hAnsi="Times New Roman"/>
                <w:sz w:val="18"/>
              </w:rPr>
              <w:t>sample pages</w:t>
            </w:r>
          </w:p>
        </w:tc>
        <w:tc>
          <w:tcPr>
            <w:tcW w:type="dxa" w:w="1234"/>
            <w:vAlign w:val="center"/>
          </w:tcPr>
          <w:p>
            <w:pPr>
              <w:jc w:val="left"/>
            </w:pPr>
            <w:r>
              <w:rPr>
                <w:rFonts w:ascii="Times New Roman" w:hAnsi="Times New Roman"/>
                <w:sz w:val="18"/>
              </w:rPr>
              <w:t>explicit human host</w:t>
            </w:r>
          </w:p>
        </w:tc>
        <w:tc>
          <w:tcPr>
            <w:tcW w:type="dxa" w:w="1234"/>
            <w:vAlign w:val="center"/>
          </w:tcPr>
          <w:p>
            <w:pPr>
              <w:jc w:val="left"/>
            </w:pPr>
            <w:r>
              <w:rPr>
                <w:rFonts w:ascii="Times New Roman" w:hAnsi="Times New Roman"/>
                <w:sz w:val="18"/>
              </w:rPr>
              <w:t>gut site</w:t>
            </w:r>
          </w:p>
        </w:tc>
        <w:tc>
          <w:tcPr>
            <w:tcW w:type="dxa" w:w="1234"/>
            <w:vAlign w:val="center"/>
          </w:tcPr>
          <w:p>
            <w:pPr>
              <w:jc w:val="left"/>
            </w:pPr>
            <w:r>
              <w:rPr>
                <w:rFonts w:ascii="Times New Roman" w:hAnsi="Times New Roman"/>
                <w:sz w:val="18"/>
              </w:rPr>
              <w:t>old column map</w:t>
            </w:r>
          </w:p>
        </w:tc>
        <w:tc>
          <w:tcPr>
            <w:tcW w:type="dxa" w:w="1234"/>
            <w:vAlign w:val="center"/>
          </w:tcPr>
          <w:p>
            <w:pPr>
              <w:jc w:val="left"/>
            </w:pPr>
            <w:r>
              <w:rPr>
                <w:rFonts w:ascii="Times New Roman" w:hAnsi="Times New Roman"/>
                <w:sz w:val="18"/>
              </w:rPr>
              <w:t>source family</w:t>
            </w:r>
          </w:p>
        </w:tc>
      </w:tr>
      <w:tr>
        <w:tc>
          <w:tcPr>
            <w:tcW w:type="dxa" w:w="1234"/>
            <w:vAlign w:val="center"/>
          </w:tcPr>
          <w:p>
            <w:pPr>
              <w:jc w:val="left"/>
            </w:pPr>
            <w:r>
              <w:rPr>
                <w:rFonts w:ascii="Times New Roman" w:hAnsi="Times New Roman"/>
                <w:sz w:val="18"/>
              </w:rPr>
              <w:t>M0633</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M2238</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M5154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M5230</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M6006</w:t>
            </w:r>
          </w:p>
        </w:tc>
        <w:tc>
          <w:tcPr>
            <w:tcW w:type="dxa" w:w="1234"/>
            <w:vAlign w:val="center"/>
          </w:tcPr>
          <w:p>
            <w:pPr>
              <w:jc w:val="left"/>
            </w:pPr>
            <w:r>
              <w:rPr>
                <w:rFonts w:ascii="Times New Roman" w:hAnsi="Times New Roman"/>
                <w:sz w:val="18"/>
              </w:rPr>
              <w:t>assembly</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M6755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and later exact run-column maps: the former links to oral saliva/plaque; the latter has a gut-oriented repeated description without an explicit sample body-site field. MGYS00006794 has a fourth exact map, but its structured codes point to skin in conflict with its title and archive biome; explicit host names are missing. None of these four exact-mapped sources has independently verified subjects, families or rights.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seven amended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 separate verified gut collection site, and verified biological-family independence. The seventh site axis was added after the skin-code discrepancy; the original six-field gate lacked it. A blank, false or unknown value blocks the review and names every failed field. A normalized Homo sapiens code cannot substitute for explicit host or site; a title or accession count cannot prove an independent dataset. These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seven amended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20.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21.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22.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23.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24.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25.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26.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27.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28.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29.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30.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31.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32.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33.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34.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35.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36.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37.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38.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