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Revised draft of 25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but the association fails with graphical lasso and igraph betweenness keystone definitions. It is a ridge-specific candidate, not a cross-method ecological discovery. A distinct HOMD oral-list effect survives those two methods but fails a PubTator literature-index replication.</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3.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5.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6.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3" name="Picture 3"/>
            <wp:cNvGraphicFramePr>
              <a:graphicFrameLocks noChangeAspect="1"/>
            </wp:cNvGraphicFramePr>
            <a:graphic>
              <a:graphicData uri="http://schemas.openxmlformats.org/drawingml/2006/picture">
                <pic:pic>
                  <pic:nvPicPr>
                    <pic:cNvPr id="0" name="fig_mgnify_audit.png"/>
                    <pic:cNvPicPr/>
                  </pic:nvPicPr>
                  <pic:blipFill>
                    <a:blip r:embed="rId11"/>
                    <a:stretch>
                      <a:fillRect/>
                    </a:stretch>
                  </pic:blipFill>
                  <pic:spPr>
                    <a:xfrm>
                      <a:off x="0" y="0"/>
                      <a:ext cx="5943600" cy="3302000"/>
                    </a:xfrm>
                    <a:prstGeom prst="rect"/>
                  </pic:spPr>
                </pic:pic>
              </a:graphicData>
            </a:graphic>
          </wp:inline>
        </w:drawing>
      </w:r>
    </w:p>
    <w:p>
      <w:r>
        <w:rPr>
          <w:i/>
        </w:rPr>
        <w:t>Figure 3.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5.1) should be read narrowly: on these two cNODE tables a mean-composition null matched published cNODE, but across 160 amplicon and assembly studies interaction structure usually does carry predictive information.</w:t>
      </w:r>
    </w:p>
    <w:p>
      <w:pPr>
        <w:pStyle w:val="Heading2"/>
      </w:pPr>
      <w:r>
        <w:t>5.4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(15)</w:t>
      </w:r>
    </w:p>
    <w:p>
      <w:r>
        <w:rPr>
          <w:b/>
        </w:rPr>
        <w:t>Table 7.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(16)</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5.4.1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8.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(17)</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(18)</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9.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5.4.2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(19)</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5.4.3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10.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5.5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(20)</w:t>
      </w:r>
    </w:p>
    <w:p>
      <w:r>
        <w:rPr>
          <w:b/>
        </w:rPr>
        <w:t>Table 11.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pStyle w:val="Heading1"/>
      </w:pPr>
      <w:r>
        <w:t>7. Discussion</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6 falsified that prediction: the forecaster remains ahead on the released source data. We retain the prediction for auditability, not as an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counted external tools was reached with a margin; count the ledger entries marked True, not infrastructure. Tools include source databases and analytical libraries actually used in committed scripts. This count does not measure independence of biological evidence.</w:t>
      </w:r>
    </w:p>
    <w:p>
      <w:r>
        <w:rPr>
          <w:b/>
        </w:rPr>
        <w:t>Table 12.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13.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