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after per-study FDR correction; the median relative gain across studies is 14.5%. This is not a causal interaction finding or a win on an untouched external source. The 160 MGnify entries are one study-table type with mixed assay modalities and possible biological-source overlap. This summary gives the paper's result hierarchy;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after per-study FDR correction;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pPr>
        <w:keepNext/>
      </w:pPr>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pPr>
        <w:keepNext/>
      </w:pPr>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pPr>
        <w:keepNext/>
      </w:pPr>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3"/>
      </w:pPr>
      <w:r>
        <w:t>5.1.1 Original-project identity sensitivity and limits</w:t>
      </w:r>
    </w:p>
    <w:p>
      <w:pPr>
        <w:spacing w:after="120"/>
        <w:jc w:val="both"/>
      </w:pPr>
      <w:r>
        <w:t>As a post-verdict, exploratory source-family audit we asked whether a study-table accession can stand in for an independent original project. Before computing this sensitivity, we fixed a lexical selector: parse a single PRJNA/PRJEB/PRJDB token from each MGnify study name, assign tokenless or ambiguous names distinct unresolved labels, then retain the lowest MGYS identifier per known project. The old 160-table BH correction is held fixed; it is not recalculated after selection. This is a source-identity sensitivity on viewed data, not a new model fit or an untouched validation cohort.</w:t>
      </w:r>
    </w:p>
    <w:p>
      <w:pPr>
        <w:keepNext/>
      </w:pPr>
      <w:r>
        <w:rPr>
          <w:b/>
        </w:rPr>
        <w:t>Table 4. Exploratory project-identity sensitivity. Wins are original 160-study FDR calls; 131/160 rows lack a unique original-project token, so 'one per' does not mean independent families.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identity group</w:t>
            </w:r>
          </w:p>
        </w:tc>
        <w:tc>
          <w:tcPr>
            <w:tcW w:type="dxa" w:w="2160"/>
            <w:vAlign w:val="center"/>
          </w:tcPr>
          <w:p>
            <w:pPr>
              <w:jc w:val="left"/>
            </w:pPr>
            <w:r>
              <w:rPr>
                <w:rFonts w:ascii="Times New Roman" w:hAnsi="Times New Roman"/>
                <w:sz w:val="18"/>
              </w:rPr>
              <w:t>study tables</w:t>
            </w:r>
          </w:p>
        </w:tc>
        <w:tc>
          <w:tcPr>
            <w:tcW w:type="dxa" w:w="2160"/>
            <w:vAlign w:val="center"/>
          </w:tcPr>
          <w:p>
            <w:pPr>
              <w:jc w:val="left"/>
            </w:pPr>
            <w:r>
              <w:rPr>
                <w:rFonts w:ascii="Times New Roman" w:hAnsi="Times New Roman"/>
                <w:sz w:val="18"/>
              </w:rPr>
              <w:t>original FDR interaction wins</w:t>
            </w:r>
          </w:p>
        </w:tc>
        <w:tc>
          <w:tcPr>
            <w:tcW w:type="dxa" w:w="2160"/>
            <w:vAlign w:val="center"/>
          </w:tcPr>
          <w:p>
            <w:pPr>
              <w:jc w:val="left"/>
            </w:pPr>
            <w:r>
              <w:rPr>
                <w:rFonts w:ascii="Times New Roman" w:hAnsi="Times New Roman"/>
                <w:sz w:val="18"/>
              </w:rPr>
              <w:t>median relative gain</w:t>
            </w:r>
          </w:p>
        </w:tc>
      </w:tr>
      <w:tr>
        <w:tc>
          <w:tcPr>
            <w:tcW w:type="dxa" w:w="2160"/>
            <w:vAlign w:val="center"/>
          </w:tcPr>
          <w:p>
            <w:pPr>
              <w:jc w:val="left"/>
            </w:pPr>
            <w:r>
              <w:rPr>
                <w:rFonts w:ascii="Times New Roman" w:hAnsi="Times New Roman"/>
                <w:sz w:val="18"/>
              </w:rPr>
              <w:t>original audit</w:t>
            </w:r>
          </w:p>
        </w:tc>
        <w:tc>
          <w:tcPr>
            <w:tcW w:type="dxa" w:w="2160"/>
            <w:vAlign w:val="center"/>
          </w:tcPr>
          <w:p>
            <w:pPr>
              <w:jc w:val="left"/>
            </w:pPr>
            <w:r>
              <w:rPr>
                <w:rFonts w:ascii="Times New Roman" w:hAnsi="Times New Roman"/>
                <w:sz w:val="18"/>
              </w:rPr>
              <w:t>160</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0.145</w:t>
            </w:r>
          </w:p>
        </w:tc>
      </w:tr>
      <w:tr>
        <w:tc>
          <w:tcPr>
            <w:tcW w:type="dxa" w:w="2160"/>
            <w:vAlign w:val="center"/>
          </w:tcPr>
          <w:p>
            <w:pPr>
              <w:jc w:val="left"/>
            </w:pPr>
            <w:r>
              <w:rPr>
                <w:rFonts w:ascii="Times New Roman" w:hAnsi="Times New Roman"/>
                <w:sz w:val="18"/>
              </w:rPr>
              <w:t>one per parsable original project</w:t>
            </w:r>
          </w:p>
        </w:tc>
        <w:tc>
          <w:tcPr>
            <w:tcW w:type="dxa" w:w="2160"/>
            <w:vAlign w:val="center"/>
          </w:tcPr>
          <w:p>
            <w:pPr>
              <w:jc w:val="left"/>
            </w:pPr>
            <w:r>
              <w:rPr>
                <w:rFonts w:ascii="Times New Roman" w:hAnsi="Times New Roman"/>
                <w:sz w:val="18"/>
              </w:rPr>
              <w:t>159</w:t>
            </w:r>
          </w:p>
        </w:tc>
        <w:tc>
          <w:tcPr>
            <w:tcW w:type="dxa" w:w="2160"/>
            <w:vAlign w:val="center"/>
          </w:tcPr>
          <w:p>
            <w:pPr>
              <w:jc w:val="left"/>
            </w:pPr>
            <w:r>
              <w:rPr>
                <w:rFonts w:ascii="Times New Roman" w:hAnsi="Times New Roman"/>
                <w:sz w:val="18"/>
              </w:rPr>
              <w:t>121</w:t>
            </w:r>
          </w:p>
        </w:tc>
        <w:tc>
          <w:tcPr>
            <w:tcW w:type="dxa" w:w="2160"/>
            <w:vAlign w:val="center"/>
          </w:tcPr>
          <w:p>
            <w:pPr>
              <w:jc w:val="left"/>
            </w:pPr>
            <w:r>
              <w:rPr>
                <w:rFonts w:ascii="Times New Roman" w:hAnsi="Times New Roman"/>
                <w:sz w:val="18"/>
              </w:rPr>
              <w:t>0.146</w:t>
            </w:r>
          </w:p>
        </w:tc>
      </w:tr>
    </w:tbl>
    <w:p>
      <w:pPr>
        <w:spacing w:after="120"/>
        <w:jc w:val="both"/>
      </w:pPr>
      <w:r>
        <w:t>Only 29 of 160 study names contain one extractable original project token. Two records, MGYS00006825 and MGYS00006862, both name PRJNA715245 and have discordant FDR win status. Live MGnify sample lists contain 197 and 84 different SRS IDs with no exact accession intersection: the pair shares a stated original project but is not an exact-sample duplicate. Keeping one project row by lexical accession removes one distinct-sample table, leaving 159 provisional families and 121 original-FDR interaction wins; the median relative gain changes from 14.52% to 14.62%. The unchanged win count does not establish 121 independent families. The 131 unresolved study names may hide other mirrors, source aliases, or shared subjects; SRS set difference also does not prove participant independence. Parent accessions and file-column biological units need a full crosswalk before a source-family leaderboard. See results/PREREG_20260927_source_family_sensitivity.md and results/mgnify_family_sensitivity.json.</w:t>
      </w:r>
    </w:p>
    <w:p>
      <w:pPr>
        <w:pStyle w:val="Heading2"/>
      </w:pPr>
      <w:r>
        <w:t>5.2 MDSINE2 benchmark: UC beat, healthy tie</w:t>
      </w:r>
    </w:p>
    <w:p>
      <w:pPr>
        <w:keepNext/>
      </w:pPr>
      <w:r>
        <w:rPr>
          <w:b/>
        </w:rPr>
        <w:t>Table 5.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pPr>
        <w:keepNext/>
      </w:pPr>
      <w:r>
        <w:rPr>
          <w:b/>
        </w:rPr>
        <w:t>Table 6.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3"/>
      </w:pPr>
      <w:r>
        <w:t>5.2.1 Biological-unit sensitivity: mice, not taxon pairs</w:t>
      </w:r>
    </w:p>
    <w:p>
      <w:pPr>
        <w:spacing w:after="120"/>
        <w:jc w:val="both"/>
      </w:pPr>
      <w:r>
        <w:t>The box-plot and Wilcoxon table use 556 or 601 taxon-mouse errors, but the independently held-out biological units are four healthy-donor mice and five UC-donor mice. Taxon errors within one mouse share the same animal, treatment course and measurement conditions, so the pair-level p-values cannot serve as mouse-level replication. To expose the unit shift, we took each mouse's median paired taxon RMSE difference between the population interpolator and MDSINE2 without modules, then enumerated every n^n resample of n mouse-level differences, using the mean across mice and 2.5%/97.5% percentiles. The same mouse can recur in a resample; these are descriptive intervals for the already viewed cohorts, not fresh animals or multiplicity-adjusted confirmation.</w:t>
      </w:r>
    </w:p>
    <w:p>
      <w:r>
        <w:br w:type="page"/>
      </w:r>
    </w:p>
    <w:p>
      <w:pPr>
        <w:keepNext/>
      </w:pPr>
      <w:r>
        <w:rPr>
          <w:b/>
        </w:rPr>
        <w:t>Table 7. Archived biological-unit sensitivity against MDSINE2 without modules. Negative gap favors the simple population baseline. Exhaustive mouse resampling has 4^4 or 5^5 draws; these are descriptive viewed-cohort intervals, not independent-study inference.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cohort</w:t>
            </w:r>
          </w:p>
        </w:tc>
        <w:tc>
          <w:tcPr>
            <w:tcW w:type="dxa" w:w="1440"/>
            <w:vAlign w:val="center"/>
          </w:tcPr>
          <w:p>
            <w:pPr>
              <w:jc w:val="left"/>
            </w:pPr>
            <w:r>
              <w:rPr>
                <w:rFonts w:ascii="Times New Roman" w:hAnsi="Times New Roman"/>
                <w:sz w:val="18"/>
              </w:rPr>
              <w:t>score</w:t>
            </w:r>
          </w:p>
        </w:tc>
        <w:tc>
          <w:tcPr>
            <w:tcW w:type="dxa" w:w="1440"/>
            <w:vAlign w:val="center"/>
          </w:tcPr>
          <w:p>
            <w:pPr>
              <w:jc w:val="left"/>
            </w:pPr>
            <w:r>
              <w:rPr>
                <w:rFonts w:ascii="Times New Roman" w:hAnsi="Times New Roman"/>
                <w:sz w:val="18"/>
              </w:rPr>
              <w:t>mice</w:t>
            </w:r>
          </w:p>
        </w:tc>
        <w:tc>
          <w:tcPr>
            <w:tcW w:type="dxa" w:w="1440"/>
            <w:vAlign w:val="center"/>
          </w:tcPr>
          <w:p>
            <w:pPr>
              <w:jc w:val="left"/>
            </w:pPr>
            <w:r>
              <w:rPr>
                <w:rFonts w:ascii="Times New Roman" w:hAnsi="Times New Roman"/>
                <w:sz w:val="18"/>
              </w:rPr>
              <w:t>negative mouse gaps</w:t>
            </w:r>
          </w:p>
        </w:tc>
        <w:tc>
          <w:tcPr>
            <w:tcW w:type="dxa" w:w="1440"/>
            <w:vAlign w:val="center"/>
          </w:tcPr>
          <w:p>
            <w:pPr>
              <w:jc w:val="left"/>
            </w:pPr>
            <w:r>
              <w:rPr>
                <w:rFonts w:ascii="Times New Roman" w:hAnsi="Times New Roman"/>
                <w:sz w:val="18"/>
              </w:rPr>
              <w:t>mean mouse-median gap</w:t>
            </w:r>
          </w:p>
        </w:tc>
        <w:tc>
          <w:tcPr>
            <w:tcW w:type="dxa" w:w="1440"/>
            <w:vAlign w:val="center"/>
          </w:tcPr>
          <w:p>
            <w:pPr>
              <w:jc w:val="left"/>
            </w:pPr>
            <w:r>
              <w:rPr>
                <w:rFonts w:ascii="Times New Roman" w:hAnsi="Times New Roman"/>
                <w:sz w:val="18"/>
              </w:rPr>
              <w:t>mouse-resample 95% interval</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-0.036</w:t>
            </w:r>
          </w:p>
        </w:tc>
        <w:tc>
          <w:tcPr>
            <w:tcW w:type="dxa" w:w="1440"/>
            <w:vAlign w:val="center"/>
          </w:tcPr>
          <w:p>
            <w:pPr>
              <w:jc w:val="left"/>
            </w:pPr>
            <w:r>
              <w:rPr>
                <w:rFonts w:ascii="Times New Roman" w:hAnsi="Times New Roman"/>
                <w:sz w:val="18"/>
              </w:rPr>
              <w:t>[-0.0978, +0.0396]</w:t>
            </w:r>
          </w:p>
        </w:tc>
      </w:tr>
      <w:tr>
        <w:tc>
          <w:tcPr>
            <w:tcW w:type="dxa" w:w="1440"/>
            <w:vAlign w:val="center"/>
          </w:tcPr>
          <w:p>
            <w:pPr>
              <w:jc w:val="left"/>
            </w:pPr>
            <w:r>
              <w:rPr>
                <w:rFonts w:ascii="Times New Roman" w:hAnsi="Times New Roman"/>
                <w:sz w:val="18"/>
              </w:rPr>
              <w:t>healthy</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-0.238</w:t>
            </w:r>
          </w:p>
        </w:tc>
        <w:tc>
          <w:tcPr>
            <w:tcW w:type="dxa" w:w="1440"/>
            <w:vAlign w:val="center"/>
          </w:tcPr>
          <w:p>
            <w:pPr>
              <w:jc w:val="left"/>
            </w:pPr>
            <w:r>
              <w:rPr>
                <w:rFonts w:ascii="Times New Roman" w:hAnsi="Times New Roman"/>
                <w:sz w:val="18"/>
              </w:rPr>
              <w:t>[-0.2514, -0.2284]</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detected-only</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-0.106</w:t>
            </w:r>
          </w:p>
        </w:tc>
        <w:tc>
          <w:tcPr>
            <w:tcW w:type="dxa" w:w="1440"/>
            <w:vAlign w:val="center"/>
          </w:tcPr>
          <w:p>
            <w:pPr>
              <w:jc w:val="left"/>
            </w:pPr>
            <w:r>
              <w:rPr>
                <w:rFonts w:ascii="Times New Roman" w:hAnsi="Times New Roman"/>
                <w:sz w:val="18"/>
              </w:rPr>
              <w:t>[-0.1351, -0.0782]</w:t>
            </w:r>
          </w:p>
        </w:tc>
      </w:tr>
      <w:tr>
        <w:tc>
          <w:tcPr>
            <w:tcW w:type="dxa" w:w="1440"/>
            <w:vAlign w:val="center"/>
          </w:tcPr>
          <w:p>
            <w:pPr>
              <w:jc w:val="left"/>
            </w:pPr>
            <w:r>
              <w:rPr>
                <w:rFonts w:ascii="Times New Roman" w:hAnsi="Times New Roman"/>
                <w:sz w:val="18"/>
              </w:rPr>
              <w:t>uc</w:t>
            </w:r>
          </w:p>
        </w:tc>
        <w:tc>
          <w:tcPr>
            <w:tcW w:type="dxa" w:w="1440"/>
            <w:vAlign w:val="center"/>
          </w:tcPr>
          <w:p>
            <w:pPr>
              <w:jc w:val="left"/>
            </w:pPr>
            <w:r>
              <w:rPr>
                <w:rFonts w:ascii="Times New Roman" w:hAnsi="Times New Roman"/>
                <w:sz w:val="18"/>
              </w:rPr>
              <w:t>all timepoints</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-0.173</w:t>
            </w:r>
          </w:p>
        </w:tc>
        <w:tc>
          <w:tcPr>
            <w:tcW w:type="dxa" w:w="1440"/>
            <w:vAlign w:val="center"/>
          </w:tcPr>
          <w:p>
            <w:pPr>
              <w:jc w:val="left"/>
            </w:pPr>
            <w:r>
              <w:rPr>
                <w:rFonts w:ascii="Times New Roman" w:hAnsi="Times New Roman"/>
                <w:sz w:val="18"/>
              </w:rPr>
              <w:t>[-0.1840, -0.1576]</w:t>
            </w:r>
          </w:p>
        </w:tc>
      </w:tr>
    </w:tbl>
    <w:p>
      <w:pPr>
        <w:spacing w:after="120"/>
        <w:jc w:val="both"/>
      </w:pPr>
      <w:r>
        <w:t>On the official detected-only score the average mouse-median gap is -0.0356 for healthy and -0.1061 for UC; the healthy mouse interval crosses zero, while the UC interval in this viewed cohort does not. The 4/4 and 5/5 all-timepoint negative signs contradict the earlier prediction that adding undetected times would erase the baseline's advantage. They do not show that detected-only scoring is harmless in general, or that either cohort is stable while the other is perturbed: the source design includes diet and antibiotics in both mouse cohorts. The all-timepoint metric uses the same released measurements, not an independent experiment. The baseline and score choices were developed on these cohorts, so even an interval below zero cannot establish a new-source beat.</w:t>
      </w:r>
    </w:p>
    <w:p>
      <w:pPr>
        <w:spacing w:after="120"/>
        <w:jc w:val="both"/>
      </w:pPr>
      <w:r>
        <w:t>A defensible future power design would simulate correlated taxon trajectories at the mouse level, predefine effect size and perturbation schedule, refit both methods in every simulated training fold, and estimate power over independent mouse cohorts. Four and five mice cannot determine a universal minimum of ten; any n&gt;=10 rule is only a planning hypothesis until such design-specific curves or an external cohort are available. Detection and conditional-abundance endpoints should be defined separately before inspecting future outcomes. No such prospective power curve or dual endpoint is claimed here.</w:t>
      </w:r>
    </w:p>
    <w:p>
      <w:pPr>
        <w:pStyle w:val="Heading3"/>
      </w:pPr>
      <w:r>
        <w:t>5.2.2 Intervention-window diagnostic on previously viewed mice</w:t>
      </w:r>
    </w:p>
    <w:p>
      <w:pPr>
        <w:spacing w:after="120"/>
        <w:jc w:val="both"/>
      </w:pPr>
      <w:r>
        <w:t>Both source cohorts have the same intervention timetable: high-fat diet from days 21.5 through 28.5, vancomycin from 35.5 through 42.5, and gentamicin from 50.5 through 57.5. Therefore the earlier hypothesis that the UC-versus-healthy contrast separates perturbed and stable cohorts is false at the design level. We instead predeclared seven windows around those periods and compared the same two predictors within each cohort. Figure 3 time indices were mapped mechanically to the public post-preprocessing sample schedule, not aligned against held-out truth. The training-population baseline was fit on the other mice for each held-out animal; published MDSINE2 without modules predictions supplied the comparator. Full-period medians and pair counts reproduce the archived head-to-head outputs for both scores before slicing windows. This diagnostic was designed after seeing aggregate full-period results, so it cannot become an untouched confirmation.</w:t>
      </w:r>
    </w:p>
    <w:p>
      <w:pPr>
        <w:spacing w:after="120"/>
        <w:jc w:val="both"/>
      </w:pPr>
      <w:r>
        <w:t>The healthy cohort has 4 held-out mice and 141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8. Predeclared intervention-window diagnostic on viewed healthy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10716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-0.311</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4794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-0.104</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4935</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-0.309</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5076</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-0.163</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564</w:t>
            </w:r>
          </w:p>
        </w:tc>
        <w:tc>
          <w:tcPr>
            <w:tcW w:type="dxa" w:w="1234"/>
            <w:vAlign w:val="center"/>
          </w:tcPr>
          <w:p>
            <w:pPr>
              <w:jc w:val="left"/>
            </w:pPr>
            <w:r>
              <w:rPr>
                <w:rFonts w:ascii="Times New Roman" w:hAnsi="Times New Roman"/>
                <w:sz w:val="18"/>
              </w:rPr>
              <w:t>6204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-0.059</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514</w:t>
            </w:r>
          </w:p>
        </w:tc>
        <w:tc>
          <w:tcPr>
            <w:tcW w:type="dxa" w:w="1234"/>
            <w:vAlign w:val="center"/>
          </w:tcPr>
          <w:p>
            <w:pPr>
              <w:jc w:val="left"/>
            </w:pPr>
            <w:r>
              <w:rPr>
                <w:rFonts w:ascii="Times New Roman" w:hAnsi="Times New Roman"/>
                <w:sz w:val="18"/>
              </w:rPr>
              <w:t>5858</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-0.254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3412</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-0.075</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486</w:t>
            </w:r>
          </w:p>
        </w:tc>
        <w:tc>
          <w:tcPr>
            <w:tcW w:type="dxa" w:w="1234"/>
            <w:vAlign w:val="center"/>
          </w:tcPr>
          <w:p>
            <w:pPr>
              <w:jc w:val="left"/>
            </w:pPr>
            <w:r>
              <w:rPr>
                <w:rFonts w:ascii="Times New Roman" w:hAnsi="Times New Roman"/>
                <w:sz w:val="18"/>
              </w:rPr>
              <w:t>3329</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-0.036</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446</w:t>
            </w:r>
          </w:p>
        </w:tc>
        <w:tc>
          <w:tcPr>
            <w:tcW w:type="dxa" w:w="1234"/>
            <w:vAlign w:val="center"/>
          </w:tcPr>
          <w:p>
            <w:pPr>
              <w:jc w:val="left"/>
            </w:pPr>
            <w:r>
              <w:rPr>
                <w:rFonts w:ascii="Times New Roman" w:hAnsi="Times New Roman"/>
                <w:sz w:val="18"/>
              </w:rPr>
              <w:t>2143</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-0.002</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340</w:t>
            </w:r>
          </w:p>
        </w:tc>
        <w:tc>
          <w:tcPr>
            <w:tcW w:type="dxa" w:w="1234"/>
            <w:vAlign w:val="center"/>
          </w:tcPr>
          <w:p>
            <w:pPr>
              <w:jc w:val="left"/>
            </w:pPr>
            <w:r>
              <w:rPr>
                <w:rFonts w:ascii="Times New Roman" w:hAnsi="Times New Roman"/>
                <w:sz w:val="18"/>
              </w:rPr>
              <w:t>1874</w:t>
            </w:r>
          </w:p>
        </w:tc>
        <w:tc>
          <w:tcPr>
            <w:tcW w:type="dxa" w:w="1234"/>
            <w:vAlign w:val="center"/>
          </w:tcPr>
          <w:p>
            <w:pPr>
              <w:jc w:val="left"/>
            </w:pPr>
            <w:r>
              <w:rPr>
                <w:rFonts w:ascii="Times New Roman" w:hAnsi="Times New Roman"/>
                <w:sz w:val="18"/>
              </w:rPr>
              <w:t>4/4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390</w:t>
            </w:r>
          </w:p>
        </w:tc>
        <w:tc>
          <w:tcPr>
            <w:tcW w:type="dxa" w:w="1234"/>
            <w:vAlign w:val="center"/>
          </w:tcPr>
          <w:p>
            <w:pPr>
              <w:jc w:val="left"/>
            </w:pPr>
            <w:r>
              <w:rPr>
                <w:rFonts w:ascii="Times New Roman" w:hAnsi="Times New Roman"/>
                <w:sz w:val="18"/>
              </w:rPr>
              <w:t>2508</w:t>
            </w:r>
          </w:p>
        </w:tc>
        <w:tc>
          <w:tcPr>
            <w:tcW w:type="dxa" w:w="1234"/>
            <w:vAlign w:val="center"/>
          </w:tcPr>
          <w:p>
            <w:pPr>
              <w:jc w:val="left"/>
            </w:pPr>
            <w:r>
              <w:rPr>
                <w:rFonts w:ascii="Times New Roman" w:hAnsi="Times New Roman"/>
                <w:sz w:val="18"/>
              </w:rPr>
              <w:t>3/4</w:t>
            </w:r>
          </w:p>
        </w:tc>
        <w:tc>
          <w:tcPr>
            <w:tcW w:type="dxa" w:w="1234"/>
            <w:vAlign w:val="center"/>
          </w:tcPr>
          <w:p>
            <w:pPr>
              <w:jc w:val="left"/>
            </w:pPr>
            <w:r>
              <w:rPr>
                <w:rFonts w:ascii="Times New Roman" w:hAnsi="Times New Roman"/>
                <w:sz w:val="18"/>
              </w:rPr>
              <w:t>-0.118</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4</w:t>
            </w:r>
          </w:p>
        </w:tc>
        <w:tc>
          <w:tcPr>
            <w:tcW w:type="dxa" w:w="1234"/>
            <w:vAlign w:val="center"/>
          </w:tcPr>
          <w:p>
            <w:pPr>
              <w:jc w:val="left"/>
            </w:pPr>
            <w:r>
              <w:rPr>
                <w:rFonts w:ascii="Times New Roman" w:hAnsi="Times New Roman"/>
                <w:sz w:val="18"/>
              </w:rPr>
              <w:t>399</w:t>
            </w:r>
          </w:p>
        </w:tc>
        <w:tc>
          <w:tcPr>
            <w:tcW w:type="dxa" w:w="1234"/>
            <w:vAlign w:val="center"/>
          </w:tcPr>
          <w:p>
            <w:pPr>
              <w:jc w:val="left"/>
            </w:pPr>
            <w:r>
              <w:rPr>
                <w:rFonts w:ascii="Times New Roman" w:hAnsi="Times New Roman"/>
                <w:sz w:val="18"/>
              </w:rPr>
              <w:t>3218</w:t>
            </w:r>
          </w:p>
        </w:tc>
        <w:tc>
          <w:tcPr>
            <w:tcW w:type="dxa" w:w="1234"/>
            <w:vAlign w:val="center"/>
          </w:tcPr>
          <w:p>
            <w:pPr>
              <w:jc w:val="left"/>
            </w:pPr>
            <w:r>
              <w:rPr>
                <w:rFonts w:ascii="Times New Roman" w:hAnsi="Times New Roman"/>
                <w:sz w:val="18"/>
              </w:rPr>
              <w:t>0/4</w:t>
            </w:r>
          </w:p>
        </w:tc>
        <w:tc>
          <w:tcPr>
            <w:tcW w:type="dxa" w:w="1234"/>
            <w:vAlign w:val="center"/>
          </w:tcPr>
          <w:p>
            <w:pPr>
              <w:jc w:val="left"/>
            </w:pPr>
            <w:r>
              <w:rPr>
                <w:rFonts w:ascii="Times New Roman" w:hAnsi="Times New Roman"/>
                <w:sz w:val="18"/>
              </w:rPr>
              <w:t>0.025</w:t>
            </w:r>
          </w:p>
        </w:tc>
      </w:tr>
    </w:tbl>
    <w:p>
      <w:pPr>
        <w:spacing w:after="120"/>
        <w:jc w:val="both"/>
      </w:pPr>
      <w:r>
        <w:t>The uc cohort has 5 held-out mice and 121 taxon labels. A window/taxon contributes if it has at least one scored timepoint; the detected-only score further requires true abundance above 1e-5. Each mouse's median taxon-level error gap (population baseline minus MDSINE2-NM) is calculated before averaging across mice. Negative numbers favor the baseline. Pair and timepoint counts below are within-mouse repeated measurements, not independent biological units.</w:t>
      </w:r>
    </w:p>
    <w:p>
      <w:pPr>
        <w:keepNext/>
      </w:pPr>
      <w:r>
        <w:rPr>
          <w:b/>
        </w:rPr>
        <w:t>Table 9. Predeclared intervention-window diagnostic on viewed uc mice. Scores reuse published Figure 3 predictions and truth; windows follow source intervention days. No treatment effect is identified.</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window</w:t>
            </w:r>
          </w:p>
        </w:tc>
        <w:tc>
          <w:tcPr>
            <w:tcW w:type="dxa" w:w="1234"/>
            <w:vAlign w:val="center"/>
          </w:tcPr>
          <w:p>
            <w:pPr>
              <w:jc w:val="left"/>
            </w:pPr>
            <w:r>
              <w:rPr>
                <w:rFonts w:ascii="Times New Roman" w:hAnsi="Times New Roman"/>
                <w:sz w:val="18"/>
              </w:rPr>
              <w:t>score</w:t>
            </w:r>
          </w:p>
        </w:tc>
        <w:tc>
          <w:tcPr>
            <w:tcW w:type="dxa" w:w="1234"/>
            <w:vAlign w:val="center"/>
          </w:tcPr>
          <w:p>
            <w:pPr>
              <w:jc w:val="left"/>
            </w:pPr>
            <w:r>
              <w:rPr>
                <w:rFonts w:ascii="Times New Roman" w:hAnsi="Times New Roman"/>
                <w:sz w:val="18"/>
              </w:rPr>
              <w:t>mice</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timepoints</w:t>
            </w:r>
          </w:p>
        </w:tc>
        <w:tc>
          <w:tcPr>
            <w:tcW w:type="dxa" w:w="1234"/>
            <w:vAlign w:val="center"/>
          </w:tcPr>
          <w:p>
            <w:pPr>
              <w:jc w:val="left"/>
            </w:pPr>
            <w:r>
              <w:rPr>
                <w:rFonts w:ascii="Times New Roman" w:hAnsi="Times New Roman"/>
                <w:sz w:val="18"/>
              </w:rPr>
              <w:t>baseline-favorable mice</w:t>
            </w:r>
          </w:p>
        </w:tc>
        <w:tc>
          <w:tcPr>
            <w:tcW w:type="dxa" w:w="1234"/>
            <w:vAlign w:val="center"/>
          </w:tcPr>
          <w:p>
            <w:pPr>
              <w:jc w:val="left"/>
            </w:pPr>
            <w:r>
              <w:rPr>
                <w:rFonts w:ascii="Times New Roman" w:hAnsi="Times New Roman"/>
                <w:sz w:val="18"/>
              </w:rPr>
              <w:t>mean mouse gap</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11495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-0.220</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5203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-0.061</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-0.205</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5445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-0.092</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5324</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all</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605</w:t>
            </w:r>
          </w:p>
        </w:tc>
        <w:tc>
          <w:tcPr>
            <w:tcW w:type="dxa" w:w="1234"/>
            <w:vAlign w:val="center"/>
          </w:tcPr>
          <w:p>
            <w:pPr>
              <w:jc w:val="left"/>
            </w:pPr>
            <w:r>
              <w:rPr>
                <w:rFonts w:ascii="Times New Roman" w:hAnsi="Times New Roman"/>
                <w:sz w:val="18"/>
              </w:rPr>
              <w:t>6655</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pre</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547</w:t>
            </w:r>
          </w:p>
        </w:tc>
        <w:tc>
          <w:tcPr>
            <w:tcW w:type="dxa" w:w="1234"/>
            <w:vAlign w:val="center"/>
          </w:tcPr>
          <w:p>
            <w:pPr>
              <w:jc w:val="left"/>
            </w:pPr>
            <w:r>
              <w:rPr>
                <w:rFonts w:ascii="Times New Roman" w:hAnsi="Times New Roman"/>
                <w:sz w:val="18"/>
              </w:rPr>
              <w:t>7346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-0.174</w:t>
            </w:r>
          </w:p>
        </w:tc>
      </w:tr>
      <w:tr>
        <w:tc>
          <w:tcPr>
            <w:tcW w:type="dxa" w:w="1234"/>
            <w:vAlign w:val="center"/>
          </w:tcPr>
          <w:p>
            <w:pPr>
              <w:jc w:val="left"/>
            </w:pPr>
            <w:r>
              <w:rPr>
                <w:rFonts w:ascii="Times New Roman" w:hAnsi="Times New Roman"/>
                <w:sz w:val="18"/>
              </w:rPr>
              <w:t>diet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571</w:t>
            </w:r>
          </w:p>
        </w:tc>
        <w:tc>
          <w:tcPr>
            <w:tcW w:type="dxa" w:w="1234"/>
            <w:vAlign w:val="center"/>
          </w:tcPr>
          <w:p>
            <w:pPr>
              <w:jc w:val="left"/>
            </w:pPr>
            <w:r>
              <w:rPr>
                <w:rFonts w:ascii="Times New Roman" w:hAnsi="Times New Roman"/>
                <w:sz w:val="18"/>
              </w:rPr>
              <w:t>3713</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-0.089</w:t>
            </w:r>
          </w:p>
        </w:tc>
      </w:tr>
      <w:tr>
        <w:tc>
          <w:tcPr>
            <w:tcW w:type="dxa" w:w="1234"/>
            <w:vAlign w:val="center"/>
          </w:tcPr>
          <w:p>
            <w:pPr>
              <w:jc w:val="left"/>
            </w:pPr>
            <w:r>
              <w:rPr>
                <w:rFonts w:ascii="Times New Roman" w:hAnsi="Times New Roman"/>
                <w:sz w:val="18"/>
              </w:rPr>
              <w:t>between diet vanco</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524</w:t>
            </w:r>
          </w:p>
        </w:tc>
        <w:tc>
          <w:tcPr>
            <w:tcW w:type="dxa" w:w="1234"/>
            <w:vAlign w:val="center"/>
          </w:tcPr>
          <w:p>
            <w:pPr>
              <w:jc w:val="left"/>
            </w:pPr>
            <w:r>
              <w:rPr>
                <w:rFonts w:ascii="Times New Roman" w:hAnsi="Times New Roman"/>
                <w:sz w:val="18"/>
              </w:rPr>
              <w:t>3846</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-0.018</w:t>
            </w:r>
          </w:p>
        </w:tc>
      </w:tr>
      <w:tr>
        <w:tc>
          <w:tcPr>
            <w:tcW w:type="dxa" w:w="1234"/>
            <w:vAlign w:val="center"/>
          </w:tcPr>
          <w:p>
            <w:pPr>
              <w:jc w:val="left"/>
            </w:pPr>
            <w:r>
              <w:rPr>
                <w:rFonts w:ascii="Times New Roman" w:hAnsi="Times New Roman"/>
                <w:sz w:val="18"/>
              </w:rPr>
              <w:t>vancomycin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501</w:t>
            </w:r>
          </w:p>
        </w:tc>
        <w:tc>
          <w:tcPr>
            <w:tcW w:type="dxa" w:w="1234"/>
            <w:vAlign w:val="center"/>
          </w:tcPr>
          <w:p>
            <w:pPr>
              <w:jc w:val="left"/>
            </w:pPr>
            <w:r>
              <w:rPr>
                <w:rFonts w:ascii="Times New Roman" w:hAnsi="Times New Roman"/>
                <w:sz w:val="18"/>
              </w:rPr>
              <w:t>2592</w:t>
            </w:r>
          </w:p>
        </w:tc>
        <w:tc>
          <w:tcPr>
            <w:tcW w:type="dxa" w:w="1234"/>
            <w:vAlign w:val="center"/>
          </w:tcPr>
          <w:p>
            <w:pPr>
              <w:jc w:val="left"/>
            </w:pPr>
            <w:r>
              <w:rPr>
                <w:rFonts w:ascii="Times New Roman" w:hAnsi="Times New Roman"/>
                <w:sz w:val="18"/>
              </w:rPr>
              <w:t>3/5</w:t>
            </w:r>
          </w:p>
        </w:tc>
        <w:tc>
          <w:tcPr>
            <w:tcW w:type="dxa" w:w="1234"/>
            <w:vAlign w:val="center"/>
          </w:tcPr>
          <w:p>
            <w:pPr>
              <w:jc w:val="left"/>
            </w:pPr>
            <w:r>
              <w:rPr>
                <w:rFonts w:ascii="Times New Roman" w:hAnsi="Times New Roman"/>
                <w:sz w:val="18"/>
              </w:rPr>
              <w:t>-0.023</w:t>
            </w:r>
          </w:p>
        </w:tc>
      </w:tr>
      <w:tr>
        <w:tc>
          <w:tcPr>
            <w:tcW w:type="dxa" w:w="1234"/>
            <w:vAlign w:val="center"/>
          </w:tcPr>
          <w:p>
            <w:pPr>
              <w:jc w:val="left"/>
            </w:pPr>
            <w:r>
              <w:rPr>
                <w:rFonts w:ascii="Times New Roman" w:hAnsi="Times New Roman"/>
                <w:sz w:val="18"/>
              </w:rPr>
              <w:t>between vanco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388</w:t>
            </w:r>
          </w:p>
        </w:tc>
        <w:tc>
          <w:tcPr>
            <w:tcW w:type="dxa" w:w="1234"/>
            <w:vAlign w:val="center"/>
          </w:tcPr>
          <w:p>
            <w:pPr>
              <w:jc w:val="left"/>
            </w:pPr>
            <w:r>
              <w:rPr>
                <w:rFonts w:ascii="Times New Roman" w:hAnsi="Times New Roman"/>
                <w:sz w:val="18"/>
              </w:rPr>
              <w:t>2186</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-0.263</w:t>
            </w:r>
          </w:p>
        </w:tc>
      </w:tr>
      <w:tr>
        <w:tc>
          <w:tcPr>
            <w:tcW w:type="dxa" w:w="1234"/>
            <w:vAlign w:val="center"/>
          </w:tcPr>
          <w:p>
            <w:pPr>
              <w:jc w:val="left"/>
            </w:pPr>
            <w:r>
              <w:rPr>
                <w:rFonts w:ascii="Times New Roman" w:hAnsi="Times New Roman"/>
                <w:sz w:val="18"/>
              </w:rPr>
              <w:t>gentamicin</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426</w:t>
            </w:r>
          </w:p>
        </w:tc>
        <w:tc>
          <w:tcPr>
            <w:tcW w:type="dxa" w:w="1234"/>
            <w:vAlign w:val="center"/>
          </w:tcPr>
          <w:p>
            <w:pPr>
              <w:jc w:val="left"/>
            </w:pPr>
            <w:r>
              <w:rPr>
                <w:rFonts w:ascii="Times New Roman" w:hAnsi="Times New Roman"/>
                <w:sz w:val="18"/>
              </w:rPr>
              <w:t>2992</w:t>
            </w:r>
          </w:p>
        </w:tc>
        <w:tc>
          <w:tcPr>
            <w:tcW w:type="dxa" w:w="1234"/>
            <w:vAlign w:val="center"/>
          </w:tcPr>
          <w:p>
            <w:pPr>
              <w:jc w:val="left"/>
            </w:pPr>
            <w:r>
              <w:rPr>
                <w:rFonts w:ascii="Times New Roman" w:hAnsi="Times New Roman"/>
                <w:sz w:val="18"/>
              </w:rPr>
              <w:t>5/5</w:t>
            </w:r>
          </w:p>
        </w:tc>
        <w:tc>
          <w:tcPr>
            <w:tcW w:type="dxa" w:w="1234"/>
            <w:vAlign w:val="center"/>
          </w:tcPr>
          <w:p>
            <w:pPr>
              <w:jc w:val="left"/>
            </w:pPr>
            <w:r>
              <w:rPr>
                <w:rFonts w:ascii="Times New Roman" w:hAnsi="Times New Roman"/>
                <w:sz w:val="18"/>
              </w:rPr>
              <w:t>-0.154</w:t>
            </w:r>
          </w:p>
        </w:tc>
      </w:tr>
      <w:tr>
        <w:tc>
          <w:tcPr>
            <w:tcW w:type="dxa" w:w="1234"/>
            <w:vAlign w:val="center"/>
          </w:tcPr>
          <w:p>
            <w:pPr>
              <w:jc w:val="left"/>
            </w:pPr>
            <w:r>
              <w:rPr>
                <w:rFonts w:ascii="Times New Roman" w:hAnsi="Times New Roman"/>
                <w:sz w:val="18"/>
              </w:rPr>
              <w:t>after gent</w:t>
            </w:r>
          </w:p>
        </w:tc>
        <w:tc>
          <w:tcPr>
            <w:tcW w:type="dxa" w:w="1234"/>
            <w:vAlign w:val="center"/>
          </w:tcPr>
          <w:p>
            <w:pPr>
              <w:jc w:val="left"/>
            </w:pPr>
            <w:r>
              <w:rPr>
                <w:rFonts w:ascii="Times New Roman" w:hAnsi="Times New Roman"/>
                <w:sz w:val="18"/>
              </w:rPr>
              <w:t>detected</w:t>
            </w:r>
          </w:p>
        </w:tc>
        <w:tc>
          <w:tcPr>
            <w:tcW w:type="dxa" w:w="1234"/>
            <w:vAlign w:val="center"/>
          </w:tcPr>
          <w:p>
            <w:pPr>
              <w:jc w:val="left"/>
            </w:pPr>
            <w:r>
              <w:rPr>
                <w:rFonts w:ascii="Times New Roman" w:hAnsi="Times New Roman"/>
                <w:sz w:val="18"/>
              </w:rPr>
              <w:t>5</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3888</w:t>
            </w:r>
          </w:p>
        </w:tc>
        <w:tc>
          <w:tcPr>
            <w:tcW w:type="dxa" w:w="1234"/>
            <w:vAlign w:val="center"/>
          </w:tcPr>
          <w:p>
            <w:pPr>
              <w:jc w:val="left"/>
            </w:pPr>
            <w:r>
              <w:rPr>
                <w:rFonts w:ascii="Times New Roman" w:hAnsi="Times New Roman"/>
                <w:sz w:val="18"/>
              </w:rPr>
              <w:t>4/5</w:t>
            </w:r>
          </w:p>
        </w:tc>
        <w:tc>
          <w:tcPr>
            <w:tcW w:type="dxa" w:w="1234"/>
            <w:vAlign w:val="center"/>
          </w:tcPr>
          <w:p>
            <w:pPr>
              <w:jc w:val="left"/>
            </w:pPr>
            <w:r>
              <w:rPr>
                <w:rFonts w:ascii="Times New Roman" w:hAnsi="Times New Roman"/>
                <w:sz w:val="18"/>
              </w:rPr>
              <w:t>-0.037</w:t>
            </w:r>
          </w:p>
        </w:tc>
      </w:tr>
    </w:tbl>
    <w:p>
      <w:pPr>
        <w:spacing w:after="120"/>
        <w:jc w:val="both"/>
      </w:pPr>
      <w:r>
        <w:t>The all-timepoint error gap favors the simple baseline in all seven windows for all four healthy mice. In UC it favors the baseline in five of five mice in six windows, and four of five between diet and vancomycin. This is a pattern of predictive error, not a causal antibiotic response: the before/after windows move along one trajectory, the models may differ in extrapolation drift, and the data were viewed during method development. The detected-only endpoint is not uniformly baseline-favorable: after gentamicin in the healthy cohort its mean mouse-level gap is +0.025 with zero of four mice favoring the baseline. A legitimate test of whether interactions help because of a perturbation would require randomized intervention holdout, matching a no-change arm and freezing taxa, metrics and intervention contrasts before an unseen cohort is opened.</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pPr>
        <w:keepNext/>
      </w:pPr>
      <w:r>
        <w:rPr>
          <w:b/>
        </w:rPr>
        <w:t>Table 10.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pPr>
        <w:keepNext/>
      </w:pPr>
      <w:r>
        <w:rPr>
          <w:b/>
        </w:rPr>
        <w:t>Table 11.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pPr>
        <w:keepNext/>
      </w:pPr>
      <w:r>
        <w:rPr>
          <w:b/>
        </w:rPr>
        <w:t>Table 12.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pPr>
        <w:keepNext/>
      </w:pPr>
      <w:r>
        <w:rPr>
          <w:b/>
        </w:rPr>
        <w:t>Table 13.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rPr>
          <w:tblHeader w:val="true"/>
        </w:trP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pPr>
        <w:keepNext/>
      </w:pPr>
      <w:r>
        <w:rPr>
          <w:b/>
        </w:rPr>
        <w:t>Table 14.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pPr>
        <w:keepNext/>
      </w:pPr>
      <w:r>
        <w:rPr>
          <w:b/>
        </w:rPr>
        <w:t>Table 15.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pPr>
        <w:keepNext/>
      </w:pPr>
      <w:r>
        <w:rPr>
          <w:b/>
        </w:rPr>
        <w:t>Table 16.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pPr>
        <w:keepNext/>
      </w:pPr>
      <w:r>
        <w:rPr>
          <w:b/>
        </w:rPr>
        <w:t>Table 17.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pPr>
        <w:keepNext/>
      </w:pPr>
      <w:r>
        <w:rPr>
          <w:b/>
        </w:rPr>
        <w:t>Table 18.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pPr>
        <w:keepNext/>
      </w:pPr>
      <w:r>
        <w:rPr>
          <w:b/>
        </w:rPr>
        <w:t>Table 19.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pPr>
        <w:keepNext/>
      </w:pPr>
      <w:r>
        <w:rPr>
          <w:b/>
        </w:rPr>
        <w:t>Table 20.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pPr>
        <w:keepNext/>
      </w:pPr>
      <w:r>
        <w:rPr>
          <w:b/>
        </w:rPr>
        <w:t>Table 21.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pPr>
        <w:keepNext/>
      </w:pPr>
      <w:r>
        <w:rPr>
          <w:b/>
        </w:rPr>
        <w:t>Table 22.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pPr>
        <w:keepNext/>
      </w:pPr>
      <w:r>
        <w:rPr>
          <w:b/>
        </w:rPr>
        <w:t>Table 23.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pPr>
        <w:keepNext/>
      </w:pPr>
      <w:r>
        <w:rPr>
          <w:b/>
        </w:rPr>
        <w:t>Table 24.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pPr>
        <w:keepNext/>
      </w:pPr>
      <w:r>
        <w:rPr>
          <w:b/>
        </w:rPr>
        <w:t>Table 25.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pPr>
        <w:keepNext/>
      </w:pPr>
      <w:r>
        <w:rPr>
          <w:b/>
        </w:rPr>
        <w:t>Table 26.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pPr>
        <w:keepNext/>
      </w:pPr>
      <w:r>
        <w:rPr>
          <w:b/>
        </w:rPr>
        <w:t>Table 27.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rPr>
          <w:tblHeader w:val="true"/>
        </w:trP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pPr>
        <w:keepNext/>
      </w:pPr>
      <w:r>
        <w:rPr>
          <w:b/>
        </w:rPr>
        <w:t>Table 28.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pPr>
        <w:keepNext/>
      </w:pPr>
      <w:r>
        <w:rPr>
          <w:b/>
        </w:rPr>
        <w:t>Table 29.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rPr>
          <w:tblHeader w:val="true"/>
        </w:trP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pPr>
        <w:keepNext/>
      </w:pPr>
      <w:r>
        <w:rPr>
          <w:b/>
        </w:rPr>
        <w:t>Table 30.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rPr>
          <w:tblHeader w:val="true"/>
        </w:trP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pPr>
        <w:keepNext/>
      </w:pPr>
      <w:r>
        <w:rPr>
          <w:b/>
        </w:rPr>
        <w:t>Table 31.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rPr>
          <w:tblHeader w:val="true"/>
        </w:trP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