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which archived sequencing runs the 2012 publication includes. Primary specimen mapping, family IDs, run-level library methods,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22.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23.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24.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25.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26.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27.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28.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29.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30.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31.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32.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33.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34.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35.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36.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37.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38.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39.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40.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