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1"/>
      </w:pPr>
      <w:r>
        <w:t>Operational contract for a local research run</w:t>
      </w:r>
    </w:p>
    <w:p>
      <w:pPr>
        <w:spacing w:after="120"/>
        <w:jc w:val="both"/>
      </w:pPr>
      <w:r>
        <w:t>The current platform is a set of local research programs, not a hosted patient service. Its practical contribution is to make a limited prediction reproducible while keeping questions that it cannot answer separate. A researcher first decides whether the target is composition conditional on an observed assemblage, a future measured metabolite, or a response to an intervention. These targets need different input and validation contracts. A species-removal screen changes the assemblage supplied to a composition predictor, but does not thereby identify the composition that would occur after removing that organism in a person. A model can calculate a number for the changed input even when the biological contrast is unidentified. The workflow must stop that numerical operation from becoming an unsupported treatment recommendation.</w:t>
      </w:r>
    </w:p>
    <w:p>
      <w:pPr>
        <w:spacing w:after="120"/>
        <w:jc w:val="both"/>
      </w:pPr>
      <w:r>
        <w:t>For the implemented composition baseline, each labeled training row represents a submitted sample and each column a taxon. Counts are normalized within each row before the population mean is computed, so a deeply sequenced sample does not receive more weight merely because it has more reads. The query supplies binary presence indicators, not its unknown outcome abundances. The prediction masks the population mean to the taxa present in the query and renormalizes their weights. A small smoothing term is applied only after the unseen-present-taxon check. Consequently, smoothing cannot manufacture evidence for an organism absent from all training samples. This rule is intentionally simple. Its behavior is inspectable, but its simplicity is not proof that it is the best predictor or that a population average captures a particular person.</w:t>
      </w:r>
    </w:p>
    <w:p>
      <w:pPr>
        <w:spacing w:after="120"/>
        <w:jc w:val="both"/>
      </w:pPr>
      <w:r>
        <w:t>The table contract is strict at the local file boundary. CSV or TSV files are limited to fifty million bytes each. The first column must be sample_id, remaining column names must be unique and nonempty, and every numeric entry must be finite. Training counts must be integers; submitted relative abundances must sum to one within the implemented tolerance. Query taxa must match both training names and column order exactly, query identifiers must not overlap training identifiers, and every query must contain at least one present taxon. A present taxon with zero empirical training abundance leads to abstention. These restrictions reduce silent numerical errors and accidental leakage. They do not detect every renamed duplicate, identify a laboratory method, establish a biological taxon equivalence, or recover an omitted organism.</w:t>
      </w:r>
    </w:p>
    <w:p>
      <w:pPr>
        <w:spacing w:after="120"/>
        <w:jc w:val="both"/>
      </w:pPr>
      <w:r>
        <w:t>The strict prediction route adds a measurement contract before writing an output. The contract supplies source family, specimen material, assay, taxonomy version, processing pipeline and unit for training and query. Declared measurement fields must match, the source family must match the requested source label, and cross-source prediction abstains because an independently validated bridge is not implemented. Matching declarations establish consistency between submitted labels, not their truth. The researcher must retain the source documents behind the declarations. A copied assay name or a shared genus label cannot turn a V4 amplicon table into a shotgun table, make saliva interchangeable with feces, or establish that two processing pipelines have equivalent detection limits.</w:t>
      </w:r>
    </w:p>
    <w:p>
      <w:pPr>
        <w:spacing w:after="120"/>
        <w:jc w:val="both"/>
      </w:pPr>
      <w:r>
        <w:t>Subject maps address a second boundary that sample identifiers alone cannot protect. The checked route can require exact sample-to-submitted-subject maps for training and query, with one mapping for every sample. Overlap between submitted subjects then fails even if their sample names differ. When the query map is absent, the report explicitly leaves query-subject separation unverified. This distinction matters in longitudinal studies, where many valid sample rows can come from one person. Renaming that person across files still defeats an exact-label check. Source recruitment records, family relationships and specimen provenance therefore remain part of the scientific admission process, rather than claims supplied by a successful software return code.</w:t>
      </w:r>
    </w:p>
    <w:p>
      <w:pPr>
        <w:pStyle w:val="Heading1"/>
      </w:pPr>
      <w:r>
        <w:t>Calibration, integrity and the meaning of an abstention</w:t>
      </w:r>
    </w:p>
    <w:p>
      <w:pPr>
        <w:spacing w:after="120"/>
        <w:jc w:val="both"/>
      </w:pPr>
      <w:r>
        <w:t>A calibrated local run adds a separate labeled calibration table after the predictor has been defined from training data. The reported Bray-Curtis radius uses the finite-sample rank ceiling of (n_cal+1)(1-alpha). If that rank exceeds the available calibration count, the radius is the maximum distance, one. That output is valid as an explicit lack of useful precision, not a reason to reduce the nominal coverage target after seeing the result. The radius concerns marginal error under exchangeability of calibration and future queries. It is not a conditional interval for a named individual, a probability of clinical harm, or a guarantee for a new intervention or laboratory. The observed same-dataset coverage diagnostics earlier in this paper must be read with their precise candidate, excluded and scored denominators.</w:t>
      </w:r>
    </w:p>
    <w:p>
      <w:pPr>
        <w:spacing w:after="120"/>
        <w:jc w:val="both"/>
      </w:pPr>
      <w:r>
        <w:t>The reliability ledger preserves five separate evidence components: prediction accuracy, predictive interaction dependence, uncertainty calibration, transferability and robustness. Even when a caller supplies all five numbers, the implementation does not average them into a score. It records them as reported but unvalidated and leaves the composite index unavailable. This is a deliberate separation between an engineering interface and a scientific result. A high number for one component cannot replace missing transfer evidence, and arbitrary weights would hide a decision that has never been calibrated on independent sources. The correct output for the present platform is the evidence vector and its missing fields, not a patient-facing percentage of trust.</w:t>
      </w:r>
    </w:p>
    <w:p>
      <w:pPr>
        <w:spacing w:after="120"/>
        <w:jc w:val="both"/>
      </w:pPr>
      <w:r>
        <w:t>A checked composition run can write an integrity receipt alongside its new prediction CSV. The receipt binds hashes and byte counts of the training file, query, measurement contract, prediction and any included subject maps. Input hashes are rechecked during the run to detect changes between inspection and prediction. Existing output and receipt paths are refused. If receipt creation fails after prediction creation, the implementation removes that new prediction output rather than leave an apparently complete paired deliverable. This is local failure handling, not a transaction guarantee across machines, a cryptographic signature, or authentication of the researcher. Replacing both an artifact and its receipt can defeat a plain hash comparison. The receipt also does not embed the input tables, although its run report may contain local paths and source labels and should be treated as private working material.</w:t>
      </w:r>
    </w:p>
    <w:p>
      <w:pPr>
        <w:spacing w:after="120"/>
        <w:jc w:val="both"/>
      </w:pPr>
      <w:r>
        <w:t>The workflow therefore separates refusal reasons from scientific negatives. A malformed query is an input failure; a missing source bridge is an admission failure; a vacuous calibration radius is an uncertainty limitation; and a frozen model that misses its usefulness threshold is a measured negative. None should be erased by trying nearby settings until a favorable status appears. The researcher records the original reason, checks whether the task itself was correctly defined, and changes the protocol only prospectively. When an intervention target remains unidentified, collecting suitable longitudinal or perturbation evidence is a different action from rerunning a composition baseline. This separation is the operational form of the paper's scientific gates: executable arithmetic is useful, but its authority ends at the measurement and validation contract it actually satisfies.</w:t>
      </w:r>
    </w:p>
    <w:p>
      <w:pPr>
        <w:spacing w:after="120"/>
        <w:jc w:val="both"/>
      </w:pPr>
      <w:r>
        <w:t>Implementation anchors are src/microtwin/local_predict.py, src/microtwin/cli.py, src/microtwin/local_calibrated_predict.py, src/microtwin/reliability.py and src/microtwin/run_bundle.py. These anchors describe the current local research workflow, not a deployed access-controlled service. Assay declarations, caller authorization flags and submitted pseudonyms still require source-grounded verification outside the numerical routine. This operational section adds no benchmark outcome and does not close external prediction, calibrated composite reliability, biological intervention validation or replicated discovery.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23.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24.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25.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26.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27.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28.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29.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30.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31.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32.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33.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34.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35.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36.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37.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38.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39.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40.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41.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 https://pmc.ncbi.nlm.nih.gov/articles/PMC4817689/</w:t>
      </w:r>
    </w:p>
    <w:p>
      <w:pPr>
        <w:spacing w:after="120"/>
        <w:jc w:val="both"/>
      </w:pPr>
      <w:r>
        <w:t>Zaura E, et al. Same Exposure but Two Radically Different Responses to Antibiotics: Resilience of the Salivary Microbiome versus Long-Term Microbial Shifts in Feces. mBio 2015.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