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two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study-level source screen moved from abstracts to MGnify analysis records and sample-host metadata without mapping historical SSU abundance columns to analyses. Later exact joins for MGYS00006755 and MGYS00002238 in Sections 5.1.2c-d supply those maps for two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MGYS00006755 and MGYS00002238 are given in Sections 5.1.2c-d;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We therefore emit a six-field status vector for each of the eight old title-unflagged digestive records. It separates analysis pagination, uniform analysis type, sample pagination, explicit host compatibility, archive-column mapping and biological-family independence. `Unknown` is an intentional output rather than a false value that someone can accidentally average away. The uncompleted eighth source is unknown on every dimension. Two later exact run-to-sample joins have verified old-column maps: MGYS00006755 still fails host compatibility, while MGYS00002238's linked samples are oral saliva/plaque, not gut. The other six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and M6755 have exact old SSU run-column maps; M2238 is oral saliva/plaque and M6755 has a host-field conflict. All eight lack an independent-family certificate; missing host details stay unknown.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study</w:t>
            </w:r>
          </w:p>
        </w:tc>
        <w:tc>
          <w:tcPr>
            <w:tcW w:type="dxa" w:w="1440"/>
            <w:vAlign w:val="center"/>
          </w:tcPr>
          <w:p>
            <w:pPr>
              <w:jc w:val="left"/>
            </w:pPr>
            <w:r>
              <w:rPr>
                <w:rFonts w:ascii="Times New Roman" w:hAnsi="Times New Roman"/>
                <w:sz w:val="18"/>
              </w:rPr>
              <w:t>analysis type</w:t>
            </w:r>
          </w:p>
        </w:tc>
        <w:tc>
          <w:tcPr>
            <w:tcW w:type="dxa" w:w="1440"/>
            <w:vAlign w:val="center"/>
          </w:tcPr>
          <w:p>
            <w:pPr>
              <w:jc w:val="left"/>
            </w:pPr>
            <w:r>
              <w:rPr>
                <w:rFonts w:ascii="Times New Roman" w:hAnsi="Times New Roman"/>
                <w:sz w:val="18"/>
              </w:rPr>
              <w:t>sample pages</w:t>
            </w:r>
          </w:p>
        </w:tc>
        <w:tc>
          <w:tcPr>
            <w:tcW w:type="dxa" w:w="1440"/>
            <w:vAlign w:val="center"/>
          </w:tcPr>
          <w:p>
            <w:pPr>
              <w:jc w:val="left"/>
            </w:pPr>
            <w:r>
              <w:rPr>
                <w:rFonts w:ascii="Times New Roman" w:hAnsi="Times New Roman"/>
                <w:sz w:val="18"/>
              </w:rPr>
              <w:t>explicit human host</w:t>
            </w:r>
          </w:p>
        </w:tc>
        <w:tc>
          <w:tcPr>
            <w:tcW w:type="dxa" w:w="1440"/>
            <w:vAlign w:val="center"/>
          </w:tcPr>
          <w:p>
            <w:pPr>
              <w:jc w:val="left"/>
            </w:pPr>
            <w:r>
              <w:rPr>
                <w:rFonts w:ascii="Times New Roman" w:hAnsi="Times New Roman"/>
                <w:sz w:val="18"/>
              </w:rPr>
              <w:t>old column map</w:t>
            </w:r>
          </w:p>
        </w:tc>
        <w:tc>
          <w:tcPr>
            <w:tcW w:type="dxa" w:w="1440"/>
            <w:vAlign w:val="center"/>
          </w:tcPr>
          <w:p>
            <w:pPr>
              <w:jc w:val="left"/>
            </w:pPr>
            <w:r>
              <w:rPr>
                <w:rFonts w:ascii="Times New Roman" w:hAnsi="Times New Roman"/>
                <w:sz w:val="18"/>
              </w:rPr>
              <w:t>source family</w:t>
            </w:r>
          </w:p>
        </w:tc>
      </w:tr>
      <w:tr>
        <w:tc>
          <w:tcPr>
            <w:tcW w:type="dxa" w:w="1440"/>
            <w:vAlign w:val="center"/>
          </w:tcPr>
          <w:p>
            <w:pPr>
              <w:jc w:val="left"/>
            </w:pPr>
            <w:r>
              <w:rPr>
                <w:rFonts w:ascii="Times New Roman" w:hAnsi="Times New Roman"/>
                <w:sz w:val="18"/>
              </w:rPr>
              <w:t>M0633</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M2238</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M5154</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M5230</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M6006</w:t>
            </w:r>
          </w:p>
        </w:tc>
        <w:tc>
          <w:tcPr>
            <w:tcW w:type="dxa" w:w="1440"/>
            <w:vAlign w:val="center"/>
          </w:tcPr>
          <w:p>
            <w:pPr>
              <w:jc w:val="left"/>
            </w:pPr>
            <w:r>
              <w:rPr>
                <w:rFonts w:ascii="Times New Roman" w:hAnsi="Times New Roman"/>
                <w:sz w:val="18"/>
              </w:rPr>
              <w:t>assembly</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M6755</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conflict</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M6794</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M6795</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in these aggregate fields; the later exact MGYS00002238 run-column crosswalk verifies oral saliva/plaque material but not independent subjects, source families or rights, while MGYS00005154 still lacks an audit-column-to-analysis crosswalk.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six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and verified biological-family independence. A blank, false or unknown value blocks the review and names every failed field. The function does not accept a normalized Homo sapiens code as a substitute for an explicit host, nor interpret a title or an accession count as proof of an independent dataset. The six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six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20.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21.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22.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23.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24.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25.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26.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27.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28.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29.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30.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31.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32.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33.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34.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35.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36.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37.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38.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