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study-level source screen moved from abstracts to MGnify analysis records and sample-host metadata without mapping historical SSU abundance columns to analyses. The later exact join for MGYS00006755 in Section 5.1.2c supplies that map for one viewed record.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A later exact run-to-analysis-to-sample join for MGYS00006755 is given in Section 5.1.2c; the other old SSU files' columns still require joins and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 correct analysis-type count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One later exact run-to-sample join, MGYS00006755, now has a verified old-column map but still fails host compatibility; all others retain unknown archive-column mapping. Every source remains unknown on biological-family independence.</w:t>
      </w:r>
    </w:p>
    <w:p>
      <w:pPr>
        <w:keepNext/>
      </w:pPr>
      <w:r>
        <w:rPr>
          <w:b/>
        </w:rPr>
        <w:t>Table 8. Source metadata-integrity matrix, not an eligibility leaderboard. Study IDs shorten MGYS0000 to M (e.g., M6755 = MGYS00006755). Only M6755 has an exact old SSU run-column map; it still has a host-field conflict. All eight lack an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Only MGYS00002238 and MGYS00005154 currently have complete human names in these aggregate fields, but neither has an audit-column-to-analysis crosswalk, independently verified subject units, source-family independence or rights review in this screen.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six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and verified biological-family independence. A blank, false or unknown value blocks the review and names every failed field. The function does not accept a normalized Homo sapiens code as a substitute for an explicit host, nor interpret a title or an accession count as proof of an independent dataset. The six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six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