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with per-study paired Wilcoxon tests and BH adjustment across all 160 study tables;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with per-study paired Wilcoxon tests and BH adjustment across all 160 study tables;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A narrow study-title pattern indicating a metagenome assembly flags 33/41 digestive-system records and 0/119 records outside that biome. This flag does not certify assay type for the 127 unflagged studies, and absence of a phrase does not prove an amplicon assay. The eight unflagged digestive tables have median relative gain 0.210 and eight original-BH interaction wins; non-digestive tables have median gain 0.192 (one undefined relative-gain denominator). This is a viewed, noncausal association confounded by source, assay, pipeline and biome, not an amplicon-only external validation. Earlier audit prose stated 2/118 non-gut assemblies and 0.184 median elsewhere; the denominator was internally inconsistent and neither value reproduced under the now-pinned title rule. We withdraw that comparison rather than treating an unflagged title as confirmed amplicon. The cNODE human-table null (Section 5.4) remains task-specific and does not imply that human microbiomes lack useful predictive interaction features.</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3"/>
      </w:pPr>
      <w:r>
        <w:t>5.1.2 Descriptive assay-title stratification</w:t>
      </w:r>
    </w:p>
    <w:p>
      <w:pPr>
        <w:spacing w:after="120"/>
        <w:jc w:val="both"/>
      </w:pPr>
      <w:r>
        <w:t>To show how much the positive 121/160 predictive audit relies on study titles suggestive of metagenome assemblies, we froze a narrow assembly-phrase rule and joined the original manifest and BH result tables one to one. The original 160-table BH q-values remain unchanged, including the one record with zero prior and interaction medians; that record contributes a no-difference call but has undefined relative gain and is omitted only from the finite relative-gain median. This is a post-hoc descriptive stratification of already viewed data, not a fresh significance analysis or proof of a platform effect.</w:t>
      </w:r>
    </w:p>
    <w:p>
      <w:pPr>
        <w:keepNext/>
      </w:pPr>
      <w:r>
        <w:rPr>
          <w:b/>
        </w:rPr>
        <w:t>Table 5. Viewed MGnify title-flag sensitivity. 'Unflagged' means unknown assay, not verified amplicon; calls retain correction across the entire 160-study audit.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study-title category</w:t>
            </w:r>
          </w:p>
        </w:tc>
        <w:tc>
          <w:tcPr>
            <w:tcW w:type="dxa" w:w="1234"/>
            <w:vAlign w:val="center"/>
          </w:tcPr>
          <w:p>
            <w:pPr>
              <w:jc w:val="left"/>
            </w:pPr>
            <w:r>
              <w:rPr>
                <w:rFonts w:ascii="Times New Roman" w:hAnsi="Times New Roman"/>
                <w:sz w:val="18"/>
              </w:rPr>
              <w:t>tables</w:t>
            </w:r>
          </w:p>
        </w:tc>
        <w:tc>
          <w:tcPr>
            <w:tcW w:type="dxa" w:w="1234"/>
            <w:vAlign w:val="center"/>
          </w:tcPr>
          <w:p>
            <w:pPr>
              <w:jc w:val="left"/>
            </w:pPr>
            <w:r>
              <w:rPr>
                <w:rFonts w:ascii="Times New Roman" w:hAnsi="Times New Roman"/>
                <w:sz w:val="18"/>
              </w:rPr>
              <w:t>BH interaction wins</w:t>
            </w:r>
          </w:p>
        </w:tc>
        <w:tc>
          <w:tcPr>
            <w:tcW w:type="dxa" w:w="1234"/>
            <w:vAlign w:val="center"/>
          </w:tcPr>
          <w:p>
            <w:pPr>
              <w:jc w:val="left"/>
            </w:pPr>
            <w:r>
              <w:rPr>
                <w:rFonts w:ascii="Times New Roman" w:hAnsi="Times New Roman"/>
                <w:sz w:val="18"/>
              </w:rPr>
              <w:t>BH prior wins</w:t>
            </w:r>
          </w:p>
        </w:tc>
        <w:tc>
          <w:tcPr>
            <w:tcW w:type="dxa" w:w="1234"/>
            <w:vAlign w:val="center"/>
          </w:tcPr>
          <w:p>
            <w:pPr>
              <w:jc w:val="left"/>
            </w:pPr>
            <w:r>
              <w:rPr>
                <w:rFonts w:ascii="Times New Roman" w:hAnsi="Times New Roman"/>
                <w:sz w:val="18"/>
              </w:rPr>
              <w:t>neither</w:t>
            </w:r>
          </w:p>
        </w:tc>
        <w:tc>
          <w:tcPr>
            <w:tcW w:type="dxa" w:w="1234"/>
            <w:vAlign w:val="center"/>
          </w:tcPr>
          <w:p>
            <w:pPr>
              <w:jc w:val="left"/>
            </w:pPr>
            <w:r>
              <w:rPr>
                <w:rFonts w:ascii="Times New Roman" w:hAnsi="Times New Roman"/>
                <w:sz w:val="18"/>
              </w:rPr>
              <w:t>median relative gain</w:t>
            </w:r>
          </w:p>
        </w:tc>
        <w:tc>
          <w:tcPr>
            <w:tcW w:type="dxa" w:w="1234"/>
            <w:vAlign w:val="center"/>
          </w:tcPr>
          <w:p>
            <w:pPr>
              <w:jc w:val="left"/>
            </w:pPr>
            <w:r>
              <w:rPr>
                <w:rFonts w:ascii="Times New Roman" w:hAnsi="Times New Roman"/>
                <w:sz w:val="18"/>
              </w:rPr>
              <w:t>undefined relative gain</w:t>
            </w:r>
          </w:p>
        </w:tc>
      </w:tr>
      <w:tr>
        <w:tc>
          <w:tcPr>
            <w:tcW w:type="dxa" w:w="1234"/>
            <w:vAlign w:val="center"/>
          </w:tcPr>
          <w:p>
            <w:pPr>
              <w:jc w:val="left"/>
            </w:pPr>
            <w:r>
              <w:rPr>
                <w:rFonts w:ascii="Times New Roman" w:hAnsi="Times New Roman"/>
                <w:sz w:val="18"/>
              </w:rPr>
              <w:t>unflagged (unknown)</w:t>
            </w:r>
          </w:p>
        </w:tc>
        <w:tc>
          <w:tcPr>
            <w:tcW w:type="dxa" w:w="1234"/>
            <w:vAlign w:val="center"/>
          </w:tcPr>
          <w:p>
            <w:pPr>
              <w:jc w:val="left"/>
            </w:pPr>
            <w:r>
              <w:rPr>
                <w:rFonts w:ascii="Times New Roman" w:hAnsi="Times New Roman"/>
                <w:sz w:val="18"/>
              </w:rPr>
              <w:t>127</w:t>
            </w:r>
          </w:p>
        </w:tc>
        <w:tc>
          <w:tcPr>
            <w:tcW w:type="dxa" w:w="1234"/>
            <w:vAlign w:val="center"/>
          </w:tcPr>
          <w:p>
            <w:pPr>
              <w:jc w:val="left"/>
            </w:pPr>
            <w:r>
              <w:rPr>
                <w:rFonts w:ascii="Times New Roman" w:hAnsi="Times New Roman"/>
                <w:sz w:val="18"/>
              </w:rPr>
              <w:t>108</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16</w:t>
            </w:r>
          </w:p>
        </w:tc>
        <w:tc>
          <w:tcPr>
            <w:tcW w:type="dxa" w:w="1234"/>
            <w:vAlign w:val="center"/>
          </w:tcPr>
          <w:p>
            <w:pPr>
              <w:jc w:val="left"/>
            </w:pPr>
            <w:r>
              <w:rPr>
                <w:rFonts w:ascii="Times New Roman" w:hAnsi="Times New Roman"/>
                <w:sz w:val="18"/>
              </w:rPr>
              <w:t>0.201</w:t>
            </w:r>
          </w:p>
        </w:tc>
        <w:tc>
          <w:tcPr>
            <w:tcW w:type="dxa" w:w="1234"/>
            <w:vAlign w:val="center"/>
          </w:tcPr>
          <w:p>
            <w:pPr>
              <w:jc w:val="left"/>
            </w:pPr>
            <w:r>
              <w:rPr>
                <w:rFonts w:ascii="Times New Roman" w:hAnsi="Times New Roman"/>
                <w:sz w:val="18"/>
              </w:rPr>
              <w:t>1</w:t>
            </w:r>
          </w:p>
        </w:tc>
      </w:tr>
      <w:tr>
        <w:tc>
          <w:tcPr>
            <w:tcW w:type="dxa" w:w="1234"/>
            <w:vAlign w:val="center"/>
          </w:tcPr>
          <w:p>
            <w:pPr>
              <w:jc w:val="left"/>
            </w:pPr>
            <w:r>
              <w:rPr>
                <w:rFonts w:ascii="Times New Roman" w:hAnsi="Times New Roman"/>
                <w:sz w:val="18"/>
              </w:rPr>
              <w:t>assembly indicated</w:t>
            </w:r>
          </w:p>
        </w:tc>
        <w:tc>
          <w:tcPr>
            <w:tcW w:type="dxa" w:w="1234"/>
            <w:vAlign w:val="center"/>
          </w:tcPr>
          <w:p>
            <w:pPr>
              <w:jc w:val="left"/>
            </w:pPr>
            <w:r>
              <w:rPr>
                <w:rFonts w:ascii="Times New Roman" w:hAnsi="Times New Roman"/>
                <w:sz w:val="18"/>
              </w:rPr>
              <w:t>33</w:t>
            </w:r>
          </w:p>
        </w:tc>
        <w:tc>
          <w:tcPr>
            <w:tcW w:type="dxa" w:w="1234"/>
            <w:vAlign w:val="center"/>
          </w:tcPr>
          <w:p>
            <w:pPr>
              <w:jc w:val="left"/>
            </w:pPr>
            <w:r>
              <w:rPr>
                <w:rFonts w:ascii="Times New Roman" w:hAnsi="Times New Roman"/>
                <w:sz w:val="18"/>
              </w:rPr>
              <w:t>13</w:t>
            </w:r>
          </w:p>
        </w:tc>
        <w:tc>
          <w:tcPr>
            <w:tcW w:type="dxa" w:w="1234"/>
            <w:vAlign w:val="center"/>
          </w:tcPr>
          <w:p>
            <w:pPr>
              <w:jc w:val="left"/>
            </w:pPr>
            <w:r>
              <w:rPr>
                <w:rFonts w:ascii="Times New Roman" w:hAnsi="Times New Roman"/>
                <w:sz w:val="18"/>
              </w:rPr>
              <w:t>3</w:t>
            </w:r>
          </w:p>
        </w:tc>
        <w:tc>
          <w:tcPr>
            <w:tcW w:type="dxa" w:w="1234"/>
            <w:vAlign w:val="center"/>
          </w:tcPr>
          <w:p>
            <w:pPr>
              <w:jc w:val="left"/>
            </w:pPr>
            <w:r>
              <w:rPr>
                <w:rFonts w:ascii="Times New Roman" w:hAnsi="Times New Roman"/>
                <w:sz w:val="18"/>
              </w:rPr>
              <w:t>17</w:t>
            </w:r>
          </w:p>
        </w:tc>
        <w:tc>
          <w:tcPr>
            <w:tcW w:type="dxa" w:w="1234"/>
            <w:vAlign w:val="center"/>
          </w:tcPr>
          <w:p>
            <w:pPr>
              <w:jc w:val="left"/>
            </w:pPr>
            <w:r>
              <w:rPr>
                <w:rFonts w:ascii="Times New Roman" w:hAnsi="Times New Roman"/>
                <w:sz w:val="18"/>
              </w:rPr>
              <w:t>0.015</w:t>
            </w:r>
          </w:p>
        </w:tc>
        <w:tc>
          <w:tcPr>
            <w:tcW w:type="dxa" w:w="1234"/>
            <w:vAlign w:val="center"/>
          </w:tcPr>
          <w:p>
            <w:pPr>
              <w:jc w:val="left"/>
            </w:pPr>
            <w:r>
              <w:rPr>
                <w:rFonts w:ascii="Times New Roman" w:hAnsi="Times New Roman"/>
                <w:sz w:val="18"/>
              </w:rPr>
              <w:t>0</w:t>
            </w:r>
          </w:p>
        </w:tc>
      </w:tr>
    </w:tbl>
    <w:p>
      <w:pPr>
        <w:spacing w:after="120"/>
        <w:jc w:val="both"/>
      </w:pPr>
      <w:r>
        <w:t>Among 33 assembly-indicated study titles, 13 have original-BH interaction wins and median relative gain 1.51%; among 127 unflagged titles, 108 have wins and the finite relative-gain median is 20.05%. All 33 flagged titles in this narrow rule happen to be in the digestive-system biome, so this comparison cannot separate assay from biome. The old two-other-assemblies assertion was not reproduced by this rule: it flags zero of 119 non-digestive titles. A broad substring search finds four non-digestive titles, but two use 'assemblage' or 'community assembly' rather than describing a metagenomic assembly. Neither title rule verifies all unflagged assay types. In particular, eight unflagged digestive records with eight BH wins do not establish eight independent amplicon cohorts or an untouched transfer result. A defensible comparison requires source method records and comparable source families, then a frozen re-analysis. This title flag cannot settle modality. Protocol and data: results/PREREG_20260927_mgnify_assay_descriptive.md and results/mgnify_assay_descriptive.json.</w:t>
      </w:r>
    </w:p>
    <w:p>
      <w:pPr>
        <w:pStyle w:val="Heading3"/>
      </w:pPr>
      <w:r>
        <w:t>5.1.2a Zero-median table: an information-content diagnostic</w:t>
      </w:r>
    </w:p>
    <w:p>
      <w:pPr>
        <w:spacing w:after="120"/>
        <w:jc w:val="both"/>
      </w:pPr>
      <w:r>
        <w:t>A separate diagnostic checks the fish-associated MGYS00006086 row rather than hiding its awkward zero-over-zero relative gain. The original audit included this row among 160 BH-adjusted study tables and counted it as neither model winning, with zero median held-out Bray-Curtis error for both. The live MGnify SSU download recorded by the manifest was opened through its published URL and processed with the original genus collapse, positive-sample filter, 5% taxon-prevalence filter and sample cap. The repository does not contain the archived derived TSV, so this is a reconstruction from a current source snapshot rather than a byte-by-byte replay of the original raw artifact. Its 142-by-11 matrix reproduces the manifest dimensions, and its 135-by-3 analyzed matrix reproduces the old audit dimensions. The source snapshot and its hash, as well as the locked check before the download, are recorded with the diagnostic.</w:t>
      </w:r>
    </w:p>
    <w:p>
      <w:pPr>
        <w:spacing w:after="120"/>
        <w:jc w:val="both"/>
      </w:pPr>
      <w:r>
        <w:t>After prevalence filtering, 3 of 11 genera remain, and 135 of 142 samples retain mass on those genera. There are 6 unique presence assemblages and 9 unique relative-composition vectors at twelve-decimal rounding. Most notably, 111 of 135 analyzed samples contain only one retained genus. For any such sample the true retained-vocabulary relative-composition vector is a unit vector. Both tested predictors condition on the observed support and normalize over present genera, so they must give the same unit vector. Thus a majority of zero errors is built into the task after filtering, not evidence that either method learned useful ecological structure. The other samples need not have zero error, and six presence patterns mean the table is not literally constant. The finding explains the zero medians without claiming that all individual held-out predictions match.</w:t>
      </w:r>
    </w:p>
    <w:p>
      <w:pPr>
        <w:spacing w:after="120"/>
        <w:jc w:val="both"/>
      </w:pPr>
      <w:r>
        <w:t>The diagnostic changes interpretation, not the analysis denominator. The row remains in the original 160-table BH family and in the no-difference category; its relative gain remains undefined rather than being set to zero. No model was refit and no p-value or q-value was recalculated. A future benchmark should set its information-content eligibility rule before viewing held-out outcomes, with minimum retained richness or nontrivial-composition coverage measured on training data only. That rule would define a different estimand and require its own complete screening ledger, not a post-hoc deletion of this fish table. Even a correctly filtered within-study result would still not establish cross-source transfer or causality. The exact MGnify endpoint and source SHA-256 are pinned in results/audit_degenerate_table.json; the locked check is results/PREREG_20260927_audit_degenerate_table.md.</w:t>
      </w:r>
    </w:p>
    <w:p>
      <w:pPr>
        <w:pStyle w:val="Heading3"/>
      </w:pPr>
      <w:r>
        <w:t>5.1.2b Exact source-column linkage for the fish diagnostic</w:t>
      </w:r>
    </w:p>
    <w:p>
      <w:pPr>
        <w:spacing w:after="120"/>
        <w:jc w:val="both"/>
      </w:pPr>
      <w:r>
        <w:t>The low-information fish table also permits a narrow accession-level provenance check. We froze the match rule before reading the current MGnify analysis and sample lists: exact identity between every source SSU column and an analysis record's assembly-relationship identifier, followed by that analysis's sample relationship. No string similarity or metadata-only guess is used. The source download has 150 raw columns, of which 142 carry nonzero mass after genus collapse and are the columns recorded in the old manifest; 135 remain after the audit's 5% prevalence screen removes massless rows. Thus 150, 142 and 135 refer to distinct, explicit processing stages, not competing counts of independent subjects.</w:t>
      </w:r>
    </w:p>
    <w:p>
      <w:pPr>
        <w:spacing w:after="120"/>
        <w:jc w:val="both"/>
      </w:pPr>
      <w:r>
        <w:t>The current MGnify API lists 157 analysis records and 157 sample records, each endpoint fully covered in one page. Exactly 150 of 150 raw SSU columns, 142 of 142 nonzero columns and 135 of 135 analyzed columns match unique analysis assembly IDs. All 135 analyzed columns then link through those analysis records to distinct current sample IDs. These matches materially strengthen the column-to-record identity for this one viewed source, rather than relying on a study-level title or aggregate count. Every matched current analysis has experiment type 'assembly'; every linked sample has explicit host scientific name Salmo salar, while all normalized species fields are missing. The explicit salmon name is a direct metadata observation, not a repair of the missing normalized field.</w:t>
      </w:r>
    </w:p>
    <w:p>
      <w:pPr>
        <w:spacing w:after="120"/>
        <w:jc w:val="both"/>
      </w:pPr>
      <w:r>
        <w:t>The result does not retroactively turn the source into an independent fish cohort or assay-certified amplicon dataset. The public 5.0 SSU file's assembly IDs map to today's assembly-typed analyses, but the run-level instrument and library methods that produced each abundance column are not settled by an experiment-type label. Nor does distinct sample accessions demonstrate distinct individual salmon, cages or projects, and license review remains open. The 135 columns still provide only a within-table predictive audit with a severe one-taxon prevalence artifact. No error was recomputed and no archived BH result was moved. The exact URLs, response hashes and match counts are recorded in results/fish_column_identity.json under the locked results/PREREG_20260927_fish_column_identity.md protocol.</w:t>
      </w:r>
    </w:p>
    <w:p>
      <w:pPr>
        <w:pStyle w:val="Heading3"/>
      </w:pPr>
      <w:r>
        <w:t>5.1.2c Exact run-column mapping exposes a human-host conflict</w:t>
      </w:r>
    </w:p>
    <w:p>
      <w:pPr>
        <w:spacing w:after="120"/>
        <w:jc w:val="both"/>
      </w:pPr>
      <w:r>
        <w:t>The other accession-level check concerns MGYS00006755, a record filed under the human digestive biome whose sample-level metadata already looked contradictory. We fixed the link rule before opening its source matrix: exact equality of the old SSU column identifier to a current analysis's run relationship, then follow that analysis's sample relationship to the current sample record. This check is possible because run accessions, not merely a study title, appear as the SSU table columns. The source snapshot reproduced its manifest's 83 samples and 353 genera after genus collapse, then the old audit's 83 samples and 150 retained genera after the standard prevalence and top-150 filters. Those dimensions match the archived record; an old derived-file checksum is unavailable, so the source snapshot is not a byte-for-byte historical replay.</w:t>
      </w:r>
    </w:p>
    <w:p>
      <w:pPr>
        <w:spacing w:after="120"/>
        <w:jc w:val="both"/>
      </w:pPr>
      <w:r>
        <w:t>All 83 of 83 analyzed run columns exactly match unique current analysis run relationships, and all of those analysis records link to distinct current sample accessions. Their current experiment-type labels are all 'amplicon'. This is stronger than the prior study-level aggregate, because the discordant host metadata now belongs to the same sample records linked by exact IDs to the 83 audit columns. In every one of these records, the explicit host scientific name is a nonhuman animal, while the normalized species label is Homo sapiens. The conflict remains unresolved; we neither infer that the normalized human label wins nor silently choose the explicit host name as final truth. The public source's study abstract describes non-ruminant herbivores, consistent with the explicit nonhuman names, but it cannot repair the source metadata's contradictory normalized field.</w:t>
      </w:r>
    </w:p>
    <w:p>
      <w:pPr>
        <w:spacing w:after="120"/>
        <w:jc w:val="both"/>
      </w:pPr>
      <w:r>
        <w:t>This materially weakens any human-gut claim based on the archived digestive label, even though the assay layer currently calls these matched records amplicon. Exact run-to-sample linkage does not verify independent animals, the full historical wet-lab method, sample rights, or an external-test separation; these results were already viewed in the 160-table audit. Their original BH-adjusted win call is left intact and not reinterpreted as a human-gut amplicon validation. A later eligibility ledger must quarantine host-discordant records until the data provider or primary methods resolves the contradiction. Exact source URLs, hashes, match counts and aggregate host-name distribution are in results/conflicted_host_column_identity.json; the pre-read rule is results/PREREG_20260927_conflicted_host_column_identity.md.</w:t>
      </w:r>
    </w:p>
    <w:p>
      <w:pPr>
        <w:pStyle w:val="Heading3"/>
      </w:pPr>
      <w:r>
        <w:t>5.1.2d Oral archive column mapping and pipeline versions</w:t>
      </w:r>
    </w:p>
    <w:p>
      <w:pPr>
        <w:spacing w:after="120"/>
        <w:jc w:val="both"/>
      </w:pPr>
      <w:r>
        <w:t>MGYS00002238 is archived under Human:Digestive system but its source title describes oral changes in children with autism spectrum disorder. We fixed an exact-ID comparison of the historical SSU file's columns to current MGnify run relationships, followed by linked sample descriptions. The public SSU source snapshot reproduces 111 manifest columns and 312 genera; after the old prevalence/top-150 preprocessing, 111 sample columns and 111 retained taxa match the archived audit dimensions. All 111 retained column IDs exactly match current run relationships, but the analysis list has 222 records, not 222 samples. Every run has two analysis versions: 5.0 and 4.1, both amplicon-labeled and linked to the same sample ID. Because the SSU file path explicitly names pipeline 5.0, the crosswalk selects only its one 5.0 analysis per run rather than counting 4.1 as an independent observation.</w:t>
      </w:r>
    </w:p>
    <w:p>
      <w:pPr>
        <w:spacing w:after="120"/>
        <w:jc w:val="both"/>
      </w:pPr>
      <w:r>
        <w:t>The selected 111 analyses link to 111 unique sample accessions; all linked explicit host names and normalized species fields are Homo sapiens. The sample descriptions identify 59 saliva and 52 dental-plaque specimens, split across patient and healthy-control descriptions. None of the matched sample descriptions says stool or gut. This is positive source evidence that the 111 archived abundance columns belong to oral material despite the digestive-system archive label, not a claim about all data ever collected by the study. The duplicate pipeline versions do not double the participant denominator; nor do 111 distinct sample accessions prove 111 distinct people. Any within-study win remains an oral-table observation, not one human-gut replication.</w:t>
      </w:r>
    </w:p>
    <w:p>
      <w:pPr>
        <w:spacing w:after="120"/>
        <w:jc w:val="both"/>
      </w:pPr>
      <w:r>
        <w:t>The revised metadata-integrity matrix marks only the old column map as known for this record. Its explicit human-host compatibility is supported on the linked columns, but independent subject/family grouping, historical wet-lab method and data rights remain unverified; the human-gut amplicon admission gate is still blocked. There was no new prediction, p-value or BH adjustment. Per-endpoint URLs, hashes, 5.0-versus-4.1 version counts and aggregate descriptions are in results/oral_column_identity.json; the locked rule and version amendment are in results/PREREG_20260927_oral_column_identity.md.</w:t>
      </w:r>
    </w:p>
    <w:p>
      <w:pPr>
        <w:pStyle w:val="Heading3"/>
      </w:pPr>
      <w:r>
        <w:t>5.1.2e Viewed human-gut candidate: exact IDs, uncertain biological units</w:t>
      </w:r>
    </w:p>
    <w:p>
      <w:pPr>
        <w:spacing w:after="120"/>
        <w:jc w:val="both"/>
      </w:pPr>
      <w:r>
        <w:t>MGYS00005154 is an old human-digestive archive table with a human-gut study title, current amplicon-labeled analyses, and complete human-host names in the prior source screen. To test whether those aggregate labels belong to the old audit data rather than to other runs in the same study, we froze an exact run-ID-to-analysis-and-sample join before opening its source table. The public pipeline-5.0 SSU snapshot reproduces 529 nonzero raw sample columns and 779 genera from the manifest. The old audit's top-150-taxon and 400-sample caps yield exactly 400 columns and 150 genera, matching its archived dimensions. All 529 raw and all 400 retained column run IDs are found in the current fully paged MGnify analysis list. This is source-column identity evidence on already-viewed data, not a new model result.</w:t>
      </w:r>
    </w:p>
    <w:p>
      <w:pPr>
        <w:spacing w:after="120"/>
        <w:jc w:val="both"/>
      </w:pPr>
      <w:r>
        <w:t>The current endpoint contains 965 analyses and 529 sample records, but analysis count does not equal biological count. Among the 400 retained run IDs, 320 have two analysis records and 80 have one. We selected exactly one pipeline-5.0 analysis per retained run because the source file explicitly names that pipeline version. Different versions of the same run agree on their linked sample ID in this check. The selected 400 analysis records are amplicon-labeled and link to 400 distinct sample accessions with explicit Homo sapiens host names and normalized Homo sapiens labels. This advances exact archive-column mapping in the metadata matrix, while leaving the independent-family field unknown.</w:t>
      </w:r>
    </w:p>
    <w:p>
      <w:pPr>
        <w:spacing w:after="120"/>
        <w:jc w:val="both"/>
      </w:pPr>
      <w:r>
        <w:t>Collection-site evidence required a post-inspection correction: all 400 linked sample descriptions repeat the study-level phrase 'Human gut microbiome differentiation viewed across cultures, ages and families', and the current sample metadata provide no literal 'body site' or 'collection site' key among these records. However, a later audit of structured sample metadata found that all 400 exact-linked records bear 'environment (material): ENVO:feces'; the other 129 current sample records carry the same material value. The prior narrow key scan omitted this field. It supports source-annotated fecal material, whereas the repeated study description alone did not suffice. Neither the submitted annotation nor the description can independently prove each collected specimen's anatomical site or wet-lab assay. Nor do 400 distinct sample accessions prove 400 unrelated people or an independent source family. Rights, participant grouping, project overlap and untouched split remain unverified. The gate therefore blocks final human-gut amplicon admission on family independence even though six other amended metadata fields pass for this candidate; passing that remaining family check would still require manual validation. No score or BH result was changed. Exact source URLs, response hashes, pipeline-version counts and aggregate sample descriptions: results/gut_candidate_column_identity.json; locked method: results/PREREG_20260927_gut_candidate_column_identity.md. Post-inspection material amendment and live sample-response hashes: results/PREREG_20260927_feces_material_amendment.md and results/gut_material_identity.json.</w:t>
      </w:r>
    </w:p>
    <w:p>
      <w:pPr>
        <w:pStyle w:val="Heading3"/>
      </w:pPr>
      <w:r>
        <w:t>5.1.2e.1 Family and publication identifiers remain unresolved</w:t>
      </w:r>
    </w:p>
    <w:p>
      <w:pPr>
        <w:spacing w:after="120"/>
        <w:jc w:val="both"/>
      </w:pPr>
      <w:r>
        <w:t>A later source-family check read the MGnify study and all current 529 sample records without examining abundance outcomes. The study record identifies PRJEB3079 / ERP001500 and its abstract describes 531 people, including mono- and dizygotic twins. All 529 exposed sample-metadata records carry location, environment, host and depth/elevation keys, but no explicit person, family, household or donor-ID key. The 529 current sample records and the 531 people in the abstract are distinct reported counts without a verified row-level crosswalk. Neither the 400 unique exact-linked sample accessions nor a single BioProject prove 400 unrelated people or independence from a source mirror. The biological-family axis therefore remains unknown rather than false or true, and source admission remains blocked.</w:t>
      </w:r>
    </w:p>
    <w:p>
      <w:pPr>
        <w:spacing w:after="120"/>
        <w:jc w:val="both"/>
      </w:pPr>
      <w:r>
        <w:t>The abstract text matches the 2012 Nature article 'Human gut microbiome viewed across age and geography' (DOI 10.1038/nature11053), which discusses fecal samples, families and twins. Yet MGnify's separate study-publications endpoint links this accession to a different 2021 article (DOI 10.1016/j.csbj.2021.07.009). We record this publication-link conflict rather than infer whether the publication endpoint citation was misassigned; the direct ENA assay bridge below identifies the deposited 16S run family. Primary person and family mapping, rights and mirror checks remain needed. This finding is metadata-only, not a reassessment of the original BH scores or an untouched external benchmark. Provider response URLs, hashes and aggregate key counts: results/gut_family_evidence.json; the dated diagnostic: results/PREREG_20260927_gut_family_evidence.md. Primary article: https://www.nature.com/articles/nature11053.</w:t>
      </w:r>
    </w:p>
    <w:p>
      <w:pPr>
        <w:pStyle w:val="Heading3"/>
      </w:pPr>
      <w:r>
        <w:t>5.1.2e.2 Exact ENA assay bridge: what the identifier establishes</w:t>
      </w:r>
    </w:p>
    <w:p>
      <w:pPr>
        <w:spacing w:after="120"/>
        <w:jc w:val="both"/>
      </w:pPr>
      <w:r>
        <w:t>The earlier family diagnostic could not connect the MGnify archive to the original article's sequencing deposit from its abstract alone. A subsequent direct provider check crossed that narrower bridge without opening a new predictive outcome. ENA's ERP001500 study XML lists PRJEB3079 as its secondary project accession and qiime_study_850 as its submitted alias. The 2012 Gordon Lab source portal lists qiime:850 for its Illumina V4 16S deposit, separate from qiime:621 for fecal shotgun data. The identifier, rather than resemblance of titles, connects the archive's ENA study to that 16S deposit. This does not make every source annotation correct or supply an article-to-person linkage. ENA XML: https://www.ebi.ac.uk/ena/browser/api/xml/ERP001500 ; author portal: https://gordonlab.wustl.edu/supplemental-data/supplemental-data-portal/yatsunenko-et-al-2012/ .</w:t>
      </w:r>
    </w:p>
    <w:p>
      <w:pPr>
        <w:spacing w:after="120"/>
        <w:jc w:val="both"/>
      </w:pPr>
      <w:r>
        <w:t>We further compared actual run identifiers, not just study labels. ENA's current ERP001500 read-run report exposes 530 unique run accessions and 529 unique sample accessions. All 530 reported runs carry AMPLICON library strategy, PCR selection and ILLUMINA instrument platform. The original MGnify SSU table has 529 raw run-ID columns and the unchanged archived filtering retains 400. Every one of the 529 raw column IDs and all 400 retained IDs exactly appears in the ENA run set; one ENA run is not a source-table column. Thus the old columns, not merely an unrelated accession in the same BioProject, have source-supported Illumina amplicon provenance. A spot-check of one ENA experiment shows 16S V4, but V4 uniformity across all 400 retained runs has not been independently checked. Full aggregate report, URLs and hashes are frozen in results/PREREG_20260928_primary_assay_crosswalk.md. The historical assay is now better grounded than the earlier manuscript text says, while the biological-family field stays unknown.</w:t>
      </w:r>
    </w:p>
    <w:p>
      <w:pPr>
        <w:spacing w:after="120"/>
        <w:jc w:val="both"/>
      </w:pPr>
      <w:r>
        <w:t>An assay bridge and a biological-independence bridge answer different questions. The first says which read runs contributed to an abundance table and what ENA calls their sequencing strategy. The second asks whether rows represent unrelated people, a twin pair, a repeated sample, or a mirror of a published cohort. The ENA report's 529 distinct sample accessions cannot resolve those relationships. The study abstract describes 531 people and twins, but neither number should be forced onto the 400 retained run columns as a participant count. The MGnify linked-publications endpoint's 2021 citation also remains inconsistent with the matching 2012 study abstract; the exact ENA alias resolves the deposited study identity without silently resolving that bibliographic conflict. This table is already viewed, so even a later family map could not turn the diagnostic into an untouched final test. No Wilcoxon statistic or BH correction in the 160-study archive was recomputed here.</w:t>
      </w:r>
    </w:p>
    <w:p>
      <w:pPr>
        <w:pStyle w:val="Heading3"/>
      </w:pPr>
      <w:r>
        <w:t>5.1.2f Exact old-column mapping reveals a site-code contradiction</w:t>
      </w:r>
    </w:p>
    <w:p>
      <w:pPr>
        <w:spacing w:after="120"/>
        <w:jc w:val="both"/>
      </w:pPr>
      <w:r>
        <w:t>MGYS00006794 has a title describing longitudinal stool and oral communities in patients with multiple sclerosis, but the archived biome places it under Human:Digestive system. We fixed an exact source-column site check before reading its original pipeline-5.0 SSU file and current MGnify analyses and samples. The source table has 184 nonzero run columns and 439 collapsed genera; after the original prevalence and top-150 filters, 184 columns and 150 genera reproduce its archived audit dimensions. All 184 old run IDs exact-match one current pipeline-5.0 analysis each, and these point to 184 distinct current sample accessions. This establishes that the site codes examined belong to the actual old table columns rather than to unrelated samples in the study.</w:t>
      </w:r>
    </w:p>
    <w:p>
      <w:pPr>
        <w:spacing w:after="120"/>
        <w:jc w:val="both"/>
      </w:pPr>
      <w:r>
        <w:t>Each linked sample's structured environment-material field is UBERON:0002097, which the EMBL-EBI Ontology Lookup Service labels 'skin of body'. Each linked environment-feature field is ENVO:2100003, labeled 'skin environment'. The source's free-text descriptions distinguish multiple-sclerosis treatment phases and controls, not the specimen site. Its normalized species is Homo sapiens, but no usable explicit host scientific name was supplied in these sample records. Thus there is a direct structured-site-versus-study-text/biome metadata conflict on all 184 archived columns. We do not adjudicate specimen tissue by choosing the structured codes or the title: either the site codes or the higher-level classification may be mistaken, and the original wet-lab record would have to settle which source actually produced the table.</w:t>
      </w:r>
    </w:p>
    <w:p>
      <w:pPr>
        <w:spacing w:after="120"/>
        <w:jc w:val="both"/>
      </w:pPr>
      <w:r>
        <w:t>This finding required a dated amendment of the admission prototype. The prior six-field gate tested host identity but conflated a human host with a human GUT sample. A separate seventh `human_gut_site_compatible` field now blocks unknown or conflicting collection site. MGYS00006794's field is false from the structured-site mismatch; MGYS00002238 is false from exact linked oral sample descriptions. Of the other six, MGYS00005154 is source-metadata compatible after the separately dated feces-material amendment; five remain unknown pending sample-specific site evidence. These are metadata blockers, not a retrospective assay-stratified performance analysis, and all eight viewed records remain blocked. None of the 160 original BH-adjusted calls or old within-study scores changed. The amendment is explicitly dated after this source check, not passed off as a rule frozen before the original audit. Source response and ontology hashes: results/mixed_site_column_identity.json; protocol and site-axis amendment: results/PREREG_20260927_mixed_site_column_identity.md and results/PREREG_20260927_site_gate_amendment.md.</w:t>
      </w:r>
    </w:p>
    <w:p>
      <w:pPr>
        <w:pStyle w:val="Heading3"/>
      </w:pPr>
      <w:r>
        <w:t>5.1.3 Live source context for the eight unflagged digestive titles</w:t>
      </w:r>
    </w:p>
    <w:p>
      <w:pPr>
        <w:spacing w:after="120"/>
        <w:jc w:val="both"/>
      </w:pPr>
      <w:r>
        <w:t>The first study-level screen asked whether eight title-unflagged records could be described uniformly as human-gut amplicon studies, using live MGnify study endpoints without re-scoring taxon outcomes. Later exact-column checks for four records are reported above. Each endpoint returned a public study name, project IDs and abstract; the source responses and abstract strings are hashed, while the repository retains only non-private metadata and short method phrases. The MGnify study response does not provide a decisive per-run library-strategy field, so a phrase in an abstract is source context, not an assay certificate for every archived abundance column. The manifest's digestive-system biome also requires verification against collection source and organism. This screen leaves the original eight win calls untouched.</w:t>
      </w:r>
    </w:p>
    <w:p>
      <w:pPr>
        <w:keepNext/>
      </w:pPr>
      <w:r>
        <w:rPr>
          <w:b/>
        </w:rPr>
        <w:t>Table 6. Live public MGnify study metadata for eight prior title-unflagged digestive archive records. Phrases are not per-run assay certification; MGYS00006755 describes non-ruminant herbivores despite a human digestive archive biome label.</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MGnify ID</w:t>
            </w:r>
          </w:p>
        </w:tc>
        <w:tc>
          <w:tcPr>
            <w:tcW w:type="dxa" w:w="2160"/>
            <w:vAlign w:val="center"/>
          </w:tcPr>
          <w:p>
            <w:pPr>
              <w:jc w:val="left"/>
            </w:pPr>
            <w:r>
              <w:rPr>
                <w:rFonts w:ascii="Times New Roman" w:hAnsi="Times New Roman"/>
                <w:sz w:val="18"/>
              </w:rPr>
              <w:t>BioProject</w:t>
            </w:r>
          </w:p>
        </w:tc>
        <w:tc>
          <w:tcPr>
            <w:tcW w:type="dxa" w:w="2160"/>
            <w:vAlign w:val="center"/>
          </w:tcPr>
          <w:p>
            <w:pPr>
              <w:jc w:val="left"/>
            </w:pPr>
            <w:r>
              <w:rPr>
                <w:rFonts w:ascii="Times New Roman" w:hAnsi="Times New Roman"/>
                <w:sz w:val="18"/>
              </w:rPr>
              <w:t>source abstract phrase</w:t>
            </w:r>
          </w:p>
        </w:tc>
        <w:tc>
          <w:tcPr>
            <w:tcW w:type="dxa" w:w="2160"/>
            <w:vAlign w:val="center"/>
          </w:tcPr>
          <w:p>
            <w:pPr>
              <w:jc w:val="left"/>
            </w:pPr>
            <w:r>
              <w:rPr>
                <w:rFonts w:ascii="Times New Roman" w:hAnsi="Times New Roman"/>
                <w:sz w:val="18"/>
              </w:rPr>
              <w:t>interpretation</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PRJNA63661</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PRJNA362687</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PRJEB3079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PRJEB5729</w:t>
            </w:r>
          </w:p>
        </w:tc>
        <w:tc>
          <w:tcPr>
            <w:tcW w:type="dxa" w:w="2160"/>
            <w:vAlign w:val="center"/>
          </w:tcPr>
          <w:p>
            <w:pPr>
              <w:jc w:val="left"/>
            </w:pPr>
            <w:r>
              <w:rPr>
                <w:rFonts w:ascii="Times New Roman" w:hAnsi="Times New Roman"/>
                <w:sz w:val="18"/>
              </w:rPr>
              <w:t>no decisive phrase</w:t>
            </w:r>
          </w:p>
        </w:tc>
        <w:tc>
          <w:tcPr>
            <w:tcW w:type="dxa" w:w="2160"/>
            <w:vAlign w:val="center"/>
          </w:tcPr>
          <w:p>
            <w:pPr>
              <w:jc w:val="left"/>
            </w:pPr>
            <w:r>
              <w:rPr>
                <w:rFonts w:ascii="Times New Roman" w:hAnsi="Times New Roman"/>
                <w:sz w:val="18"/>
              </w:rPr>
              <w:t>unknown</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PRJEB49206</w:t>
            </w:r>
          </w:p>
        </w:tc>
        <w:tc>
          <w:tcPr>
            <w:tcW w:type="dxa" w:w="2160"/>
            <w:vAlign w:val="center"/>
          </w:tcPr>
          <w:p>
            <w:pPr>
              <w:jc w:val="left"/>
            </w:pPr>
            <w:r>
              <w:rPr>
                <w:rFonts w:ascii="Times New Roman" w:hAnsi="Times New Roman"/>
                <w:sz w:val="18"/>
              </w:rPr>
              <w:t>ultra-deep metagenomic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PRJNA362214</w:t>
            </w:r>
          </w:p>
        </w:tc>
        <w:tc>
          <w:tcPr>
            <w:tcW w:type="dxa" w:w="2160"/>
            <w:vAlign w:val="center"/>
          </w:tcPr>
          <w:p>
            <w:pPr>
              <w:jc w:val="left"/>
            </w:pPr>
            <w:r>
              <w:rPr>
                <w:rFonts w:ascii="Times New Roman" w:hAnsi="Times New Roman"/>
                <w:sz w:val="18"/>
              </w:rPr>
              <w:t>V4 16S rRNA amplicons</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PRJEB44538</w:t>
            </w:r>
          </w:p>
        </w:tc>
        <w:tc>
          <w:tcPr>
            <w:tcW w:type="dxa" w:w="2160"/>
            <w:vAlign w:val="center"/>
          </w:tcPr>
          <w:p>
            <w:pPr>
              <w:jc w:val="left"/>
            </w:pPr>
            <w:r>
              <w:rPr>
                <w:rFonts w:ascii="Times New Roman" w:hAnsi="Times New Roman"/>
                <w:sz w:val="18"/>
              </w:rPr>
              <w:t>16S rDNA sequencing</w:t>
            </w:r>
          </w:p>
        </w:tc>
        <w:tc>
          <w:tcPr>
            <w:tcW w:type="dxa" w:w="2160"/>
            <w:vAlign w:val="center"/>
          </w:tcPr>
          <w:p>
            <w:pPr>
              <w:jc w:val="left"/>
            </w:pPr>
            <w:r>
              <w:rPr>
                <w:rFonts w:ascii="Times New Roman" w:hAnsi="Times New Roman"/>
                <w:sz w:val="18"/>
              </w:rPr>
              <w:t>study description only</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PRJNA492714</w:t>
            </w:r>
          </w:p>
        </w:tc>
        <w:tc>
          <w:tcPr>
            <w:tcW w:type="dxa" w:w="2160"/>
            <w:vAlign w:val="center"/>
          </w:tcPr>
          <w:p>
            <w:pPr>
              <w:jc w:val="left"/>
            </w:pPr>
            <w:r>
              <w:rPr>
                <w:rFonts w:ascii="Times New Roman" w:hAnsi="Times New Roman"/>
                <w:sz w:val="18"/>
              </w:rPr>
              <w:t>whole genome sequencing</w:t>
            </w:r>
          </w:p>
        </w:tc>
        <w:tc>
          <w:tcPr>
            <w:tcW w:type="dxa" w:w="2160"/>
            <w:vAlign w:val="center"/>
          </w:tcPr>
          <w:p>
            <w:pPr>
              <w:jc w:val="left"/>
            </w:pPr>
            <w:r>
              <w:rPr>
                <w:rFonts w:ascii="Times New Roman" w:hAnsi="Times New Roman"/>
                <w:sz w:val="18"/>
              </w:rPr>
              <w:t>study description only</w:t>
            </w:r>
          </w:p>
        </w:tc>
      </w:tr>
    </w:tbl>
    <w:p>
      <w:pPr>
        <w:spacing w:after="120"/>
        <w:jc w:val="both"/>
      </w:pPr>
      <w:r>
        <w:t>The sources directly contradict the casual phrase 'eight amplicon human-gut studies'. MGYS00006006 describes ultra-deep metagenomic sequencing; MGYS00006795 mentions whole-genome sequencing; MGYS00006755 describes V4 16S rRNA amplicons from non-ruminant herbivores even though the archived biome reads Human:Digestive system; MGYS00006794 describes oral and stool 16S rDNA sequencing. MGYS00002238 has an oral-microbiome title and a short abstract, while several others give no decisive assay phrase in the study response. A mixed study abstract could describe multiple sample types, and neither the digestive-system label nor the absence of an assembly title can replace a sample-to-run library-strategy crosswalk. The within-study eight-of-eight BH result is still an archival arithmetic fact, but the stronger interpretation as eight independent, human gut, amplicon cohorts is withdrawn. An assay-stratified scientific result requires source-verified collection and instrument fields, harmonized taxonomy, and subject/source-family grouping before any new model test. Source URLs and response hashes are in results/gut_unflagged_source_screen.json; no external performance was computed in this screen.</w:t>
      </w:r>
    </w:p>
    <w:p>
      <w:pPr>
        <w:pStyle w:val="Heading3"/>
      </w:pPr>
      <w:r>
        <w:t>5.1.4 Analysis-type and host metadata crosswalk: seven complete, one unresolved</w:t>
      </w:r>
    </w:p>
    <w:p>
      <w:pPr>
        <w:spacing w:after="120"/>
        <w:jc w:val="both"/>
      </w:pPr>
      <w:r>
        <w:t>The earlier source screen moved from abstracts to MGnify analysis records and sample-host metadata without mapping historical SSU abundance columns to analyses. Later exact joins in Sections 5.1.2c-f supply those maps for four viewed records. Seven of the eight title-unflagged digestive study IDs had complete, declared pagination for both analysis and sample endpoints. The eighth, MGYS00000633, declares 8,091 analyses and 1,563 samples across many pages; this bounded screen did not complete it, so its assay and host classification are explicitly unresolved. Each completed source record carries page URLs and response hashes, while only aggregate type and host counts enter this manuscript. The classification below is current MGnify analysis metadata, not a verified historical per-column label and not an external validation result.</w:t>
      </w:r>
    </w:p>
    <w:p>
      <w:pPr>
        <w:keepNext/>
      </w:pPr>
      <w:r>
        <w:rPr>
          <w:b/>
        </w:rPr>
        <w:t>Table 7. Complete MGnify analysis/sample metadata for seven of eight previously viewed digestive archive records. The eighth is unresolved due to incomplete pagination. Host conflict compares normalized Homo sapiens to an explicit nonhuman host scientific name, not a missing value.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ID</w:t>
            </w:r>
          </w:p>
        </w:tc>
        <w:tc>
          <w:tcPr>
            <w:tcW w:type="dxa" w:w="1728"/>
            <w:vAlign w:val="center"/>
          </w:tcPr>
          <w:p>
            <w:pPr>
              <w:jc w:val="left"/>
            </w:pPr>
            <w:r>
              <w:rPr>
                <w:rFonts w:ascii="Times New Roman" w:hAnsi="Times New Roman"/>
                <w:sz w:val="18"/>
              </w:rPr>
              <w:t>analyses</w:t>
            </w:r>
          </w:p>
        </w:tc>
        <w:tc>
          <w:tcPr>
            <w:tcW w:type="dxa" w:w="1728"/>
            <w:vAlign w:val="center"/>
          </w:tcPr>
          <w:p>
            <w:pPr>
              <w:jc w:val="left"/>
            </w:pPr>
            <w:r>
              <w:rPr>
                <w:rFonts w:ascii="Times New Roman" w:hAnsi="Times New Roman"/>
                <w:sz w:val="18"/>
              </w:rPr>
              <w:t>analysis types</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host-field conflict</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222</w:t>
            </w:r>
          </w:p>
        </w:tc>
        <w:tc>
          <w:tcPr>
            <w:tcW w:type="dxa" w:w="1728"/>
            <w:vAlign w:val="center"/>
          </w:tcPr>
          <w:p>
            <w:pPr>
              <w:jc w:val="left"/>
            </w:pPr>
            <w:r>
              <w:rPr>
                <w:rFonts w:ascii="Times New Roman" w:hAnsi="Times New Roman"/>
                <w:sz w:val="18"/>
              </w:rPr>
              <w:t>amplicon: 222</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965</w:t>
            </w:r>
          </w:p>
        </w:tc>
        <w:tc>
          <w:tcPr>
            <w:tcW w:type="dxa" w:w="1728"/>
            <w:vAlign w:val="center"/>
          </w:tcPr>
          <w:p>
            <w:pPr>
              <w:jc w:val="left"/>
            </w:pPr>
            <w:r>
              <w:rPr>
                <w:rFonts w:ascii="Times New Roman" w:hAnsi="Times New Roman"/>
                <w:sz w:val="18"/>
              </w:rPr>
              <w:t>amplicon: 965</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1644</w:t>
            </w:r>
          </w:p>
        </w:tc>
        <w:tc>
          <w:tcPr>
            <w:tcW w:type="dxa" w:w="1728"/>
            <w:vAlign w:val="center"/>
          </w:tcPr>
          <w:p>
            <w:pPr>
              <w:jc w:val="left"/>
            </w:pPr>
            <w:r>
              <w:rPr>
                <w:rFonts w:ascii="Times New Roman" w:hAnsi="Times New Roman"/>
                <w:sz w:val="18"/>
              </w:rPr>
              <w:t>amplicon: 1644</w:t>
            </w:r>
          </w:p>
        </w:tc>
        <w:tc>
          <w:tcPr>
            <w:tcW w:type="dxa" w:w="1728"/>
            <w:vAlign w:val="center"/>
          </w:tcPr>
          <w:p>
            <w:pPr>
              <w:jc w:val="left"/>
            </w:pPr>
            <w:r>
              <w:rPr>
                <w:rFonts w:ascii="Times New Roman" w:hAnsi="Times New Roman"/>
                <w:sz w:val="18"/>
              </w:rPr>
              <w:t>915</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assembly: 457</w:t>
            </w:r>
          </w:p>
        </w:tc>
        <w:tc>
          <w:tcPr>
            <w:tcW w:type="dxa" w:w="1728"/>
            <w:vAlign w:val="center"/>
          </w:tcPr>
          <w:p>
            <w:pPr>
              <w:jc w:val="left"/>
            </w:pPr>
            <w:r>
              <w:rPr>
                <w:rFonts w:ascii="Times New Roman" w:hAnsi="Times New Roman"/>
                <w:sz w:val="18"/>
              </w:rPr>
              <w:t>419</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amplicon: 83</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amplicon: 184</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amplicon: 31</w:t>
            </w:r>
          </w:p>
        </w:tc>
        <w:tc>
          <w:tcPr>
            <w:tcW w:type="dxa" w:w="1728"/>
            <w:vAlign w:val="center"/>
          </w:tcPr>
          <w:p>
            <w:pPr>
              <w:jc w:val="left"/>
            </w:pPr>
            <w:r>
              <w:rPr>
                <w:rFonts w:ascii="Times New Roman" w:hAnsi="Times New Roman"/>
                <w:sz w:val="18"/>
              </w:rPr>
              <w:t>36</w:t>
            </w:r>
          </w:p>
        </w:tc>
        <w:tc>
          <w:tcPr>
            <w:tcW w:type="dxa" w:w="1728"/>
            <w:vAlign w:val="center"/>
          </w:tcPr>
          <w:p>
            <w:pPr>
              <w:jc w:val="left"/>
            </w:pPr>
            <w:r>
              <w:rPr>
                <w:rFonts w:ascii="Times New Roman" w:hAnsi="Times New Roman"/>
                <w:sz w:val="18"/>
              </w:rPr>
              <w:t>0</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c>
          <w:tcPr>
            <w:tcW w:type="dxa" w:w="1728"/>
            <w:vAlign w:val="center"/>
          </w:tcPr>
          <w:p>
            <w:pPr>
              <w:jc w:val="left"/>
            </w:pPr>
            <w:r>
              <w:rPr>
                <w:rFonts w:ascii="Times New Roman" w:hAnsi="Times New Roman"/>
                <w:sz w:val="18"/>
              </w:rPr>
              <w:t>unresolved</w:t>
            </w:r>
          </w:p>
        </w:tc>
      </w:tr>
    </w:tbl>
    <w:p>
      <w:pPr>
        <w:spacing w:after="120"/>
        <w:jc w:val="both"/>
      </w:pPr>
      <w:r>
        <w:t>The title filter missed an assembly-derived study: MGYS00006006 has 457 of 457 current analyses typed 'assembly', despite not carrying the narrow assembly phrase in its title. In contrast, MGYS00006795's abstract mentioned whole-genome sequencing while all 31 current analyses are typed 'amplicon'; study prose and the output being audited are different evidence layers. The six completed sources besides the assembly record have all examined analyses labeled amplicon. In MGYS00006755, all 83 analyses are labeled amplicon, but all 83 normalized sample species fields say Homo sapiens while the source's explicit host scientific names give nonhuman animals. We cannot choose the more favorable field: the human host label is contested for that study. No outcome or original BH q-value was recomputed from these source metadata. Later exact run-to-analysis-to-sample joins for four viewed records are given in Sections 5.1.2c-f; the remaining old SSU files' columns still require joins and all require biological-family grouping before any assay-specific win rate. The seven-of-eight read reduces uncertainty in named records but does not certify eight independent human amplicon cohorts or resolve the archived gut effect. See results/PREREG_20260927_gut_analysis_metadata_crosswalk.md and results/gut_analysis_metadata_crosswalk_partial.json; MGYS00000633 remains open.</w:t>
      </w:r>
    </w:p>
    <w:p>
      <w:pPr>
        <w:pStyle w:val="Heading3"/>
      </w:pPr>
      <w:r>
        <w:t>5.1.5 An explicit metadata-integrity matrix</w:t>
      </w:r>
    </w:p>
    <w:p>
      <w:pPr>
        <w:spacing w:after="120"/>
        <w:jc w:val="both"/>
      </w:pPr>
      <w:r>
        <w:t>A recurring error in a large research platform is to turn partial metadata into a single green eligibility check. The preceding screens make this risk concrete: an analysis-type count alone does not link a historical abundance column to an analysis; a normalized human species code need not agree with the source's host scientific name; and complete pagination does not establish an independent source family. The original matrix emitted a six-field status vector for each of the eight old title-unflagged digestive records; a seventh site field was added after the mixed-site conflict was found. It separates analysis pagination, uniform analysis type, sample pagination, explicit host compatibility, archive-column mapping, biological-family independence and the newly amended gut-site compatibility. `Unknown` is an intentional output rather than a false value that someone can accidentally average away. The uncompleted eighth source is unknown on every dimension. Four later exact run-to-sample joins have verified old-column maps: MGYS00006755 fails host compatibility; MGYS00002238 is oral saliva/plaque; MGYS00006794 has conflicting structured skin-site codes; and MGYS00005154 has an exact-linked feces material annotation but no independent-family certificate. The other four retain unknown archive-column mapping. Every source remains unknown on biological-family independence.</w:t>
      </w:r>
    </w:p>
    <w:p>
      <w:pPr>
        <w:keepNext/>
      </w:pPr>
      <w:r>
        <w:rPr>
          <w:b/>
        </w:rPr>
        <w:t>Table 8. Source metadata-integrity matrix, not an eligibility leaderboard. Study IDs shorten MGYS0000 to M (e.g., M6755 = MGYS00006755). M2238, M5154, M6755 and M6794 have exact old SSU run-column maps. M2238 is oral, M6794 has conflicting skin-site codes, M6755 has a host conflict; all eight lack an independent-family certificate.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study</w:t>
            </w:r>
          </w:p>
        </w:tc>
        <w:tc>
          <w:tcPr>
            <w:tcW w:type="dxa" w:w="1234"/>
            <w:vAlign w:val="center"/>
          </w:tcPr>
          <w:p>
            <w:pPr>
              <w:jc w:val="left"/>
            </w:pPr>
            <w:r>
              <w:rPr>
                <w:rFonts w:ascii="Times New Roman" w:hAnsi="Times New Roman"/>
                <w:sz w:val="18"/>
              </w:rPr>
              <w:t>analysis type</w:t>
            </w:r>
          </w:p>
        </w:tc>
        <w:tc>
          <w:tcPr>
            <w:tcW w:type="dxa" w:w="1234"/>
            <w:vAlign w:val="center"/>
          </w:tcPr>
          <w:p>
            <w:pPr>
              <w:jc w:val="left"/>
            </w:pPr>
            <w:r>
              <w:rPr>
                <w:rFonts w:ascii="Times New Roman" w:hAnsi="Times New Roman"/>
                <w:sz w:val="18"/>
              </w:rPr>
              <w:t>sample pages</w:t>
            </w:r>
          </w:p>
        </w:tc>
        <w:tc>
          <w:tcPr>
            <w:tcW w:type="dxa" w:w="1234"/>
            <w:vAlign w:val="center"/>
          </w:tcPr>
          <w:p>
            <w:pPr>
              <w:jc w:val="left"/>
            </w:pPr>
            <w:r>
              <w:rPr>
                <w:rFonts w:ascii="Times New Roman" w:hAnsi="Times New Roman"/>
                <w:sz w:val="18"/>
              </w:rPr>
              <w:t>explicit human host</w:t>
            </w:r>
          </w:p>
        </w:tc>
        <w:tc>
          <w:tcPr>
            <w:tcW w:type="dxa" w:w="1234"/>
            <w:vAlign w:val="center"/>
          </w:tcPr>
          <w:p>
            <w:pPr>
              <w:jc w:val="left"/>
            </w:pPr>
            <w:r>
              <w:rPr>
                <w:rFonts w:ascii="Times New Roman" w:hAnsi="Times New Roman"/>
                <w:sz w:val="18"/>
              </w:rPr>
              <w:t>gut site</w:t>
            </w:r>
          </w:p>
        </w:tc>
        <w:tc>
          <w:tcPr>
            <w:tcW w:type="dxa" w:w="1234"/>
            <w:vAlign w:val="center"/>
          </w:tcPr>
          <w:p>
            <w:pPr>
              <w:jc w:val="left"/>
            </w:pPr>
            <w:r>
              <w:rPr>
                <w:rFonts w:ascii="Times New Roman" w:hAnsi="Times New Roman"/>
                <w:sz w:val="18"/>
              </w:rPr>
              <w:t>old column map</w:t>
            </w:r>
          </w:p>
        </w:tc>
        <w:tc>
          <w:tcPr>
            <w:tcW w:type="dxa" w:w="1234"/>
            <w:vAlign w:val="center"/>
          </w:tcPr>
          <w:p>
            <w:pPr>
              <w:jc w:val="left"/>
            </w:pPr>
            <w:r>
              <w:rPr>
                <w:rFonts w:ascii="Times New Roman" w:hAnsi="Times New Roman"/>
                <w:sz w:val="18"/>
              </w:rPr>
              <w:t>source family</w:t>
            </w:r>
          </w:p>
        </w:tc>
      </w:tr>
      <w:tr>
        <w:tc>
          <w:tcPr>
            <w:tcW w:type="dxa" w:w="1234"/>
            <w:vAlign w:val="center"/>
          </w:tcPr>
          <w:p>
            <w:pPr>
              <w:jc w:val="left"/>
            </w:pPr>
            <w:r>
              <w:rPr>
                <w:rFonts w:ascii="Times New Roman" w:hAnsi="Times New Roman"/>
                <w:sz w:val="18"/>
              </w:rPr>
              <w:t>M0633</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M2238</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M5154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M5230</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M6006</w:t>
            </w:r>
          </w:p>
        </w:tc>
        <w:tc>
          <w:tcPr>
            <w:tcW w:type="dxa" w:w="1234"/>
            <w:vAlign w:val="center"/>
          </w:tcPr>
          <w:p>
            <w:pPr>
              <w:jc w:val="left"/>
            </w:pPr>
            <w:r>
              <w:rPr>
                <w:rFonts w:ascii="Times New Roman" w:hAnsi="Times New Roman"/>
                <w:sz w:val="18"/>
              </w:rPr>
              <w:t>assembly</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M6755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M6794</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conflict</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r>
      <w:tr>
        <w:tc>
          <w:tcPr>
            <w:tcW w:type="dxa" w:w="1234"/>
            <w:vAlign w:val="center"/>
          </w:tcPr>
          <w:p>
            <w:pPr>
              <w:jc w:val="left"/>
            </w:pPr>
            <w:r>
              <w:rPr>
                <w:rFonts w:ascii="Times New Roman" w:hAnsi="Times New Roman"/>
                <w:sz w:val="18"/>
              </w:rPr>
              <w:t>M6795</w:t>
            </w:r>
          </w:p>
        </w:tc>
        <w:tc>
          <w:tcPr>
            <w:tcW w:type="dxa" w:w="1234"/>
            <w:vAlign w:val="center"/>
          </w:tcPr>
          <w:p>
            <w:pPr>
              <w:jc w:val="left"/>
            </w:pPr>
            <w:r>
              <w:rPr>
                <w:rFonts w:ascii="Times New Roman" w:hAnsi="Times New Roman"/>
                <w:sz w:val="18"/>
              </w:rPr>
              <w:t>amplicon</w:t>
            </w:r>
          </w:p>
        </w:tc>
        <w:tc>
          <w:tcPr>
            <w:tcW w:type="dxa" w:w="1234"/>
            <w:vAlign w:val="center"/>
          </w:tcPr>
          <w:p>
            <w:pPr>
              <w:jc w:val="left"/>
            </w:pPr>
            <w:r>
              <w:rPr>
                <w:rFonts w:ascii="Times New Roman" w:hAnsi="Times New Roman"/>
                <w:sz w:val="18"/>
              </w:rPr>
              <w:t>yes</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c>
          <w:tcPr>
            <w:tcW w:type="dxa" w:w="1234"/>
            <w:vAlign w:val="center"/>
          </w:tcPr>
          <w:p>
            <w:pPr>
              <w:jc w:val="left"/>
            </w:pPr>
            <w:r>
              <w:rPr>
                <w:rFonts w:ascii="Times New Roman" w:hAnsi="Times New Roman"/>
                <w:sz w:val="18"/>
              </w:rPr>
              <w:t>unknown</w:t>
            </w:r>
          </w:p>
        </w:tc>
      </w:tr>
    </w:tbl>
    <w:p>
      <w:pPr>
        <w:spacing w:after="120"/>
        <w:jc w:val="both"/>
      </w:pPr>
      <w:r>
        <w:t>The distinction between false and unknown matters. MGYS00006755 is a host-field conflict on the exact 83 audited run columns: every linked sample reports a nonhuman host scientific name while the normalized species says Homo sapiens. Its known column mapping does not repair the biological-host disagreement. MGYS00005230, MGYS00006794 and MGYS00006795 have missing explicit host names for some or all samples and are therefore unknown on the explicit-host criterion, even when normalized species labels say human. MGYS00006006 is assembly-typed at the analysis layer and also has seven samples without usable explicit host names. MGYS00002238 and MGYS00005154 have complete human names and later exact run-column maps: the former links to oral saliva/plaque; the latter has a repeated gut-oriented description and a later identified structured feces material annotation on all 400 exact-linked samples, though no literal body-site field. MGYS00006794 has a fourth exact map, but its structured codes point to skin in conflict with its title and archive biome; explicit host names are missing. None of these four exact-mapped sources has independently verified subjects, families or rights. These statuses do not revise the 121/160 BH test or identify an assay-specific effect. They define why a future leaderboard admission procedure must check all needed evidence separately before treating any old accession row as a biological dataset. Machine-readable statuses and synthetic fail-closed tests live in results/metadata_integrity_matrix.json and tests/test_metadata_integrity_matrix.py.</w:t>
      </w:r>
    </w:p>
    <w:p>
      <w:pPr>
        <w:pStyle w:val="Heading3"/>
      </w:pPr>
      <w:r>
        <w:t>5.1.5a Fail-closed source-admission prototype</w:t>
      </w:r>
    </w:p>
    <w:p>
      <w:pPr>
        <w:spacing w:after="120"/>
        <w:jc w:val="both"/>
      </w:pPr>
      <w:r>
        <w:t>To make the integrity matrix operational rather than a decorative warning, a local admission function now evaluates seven amended fields for each already-viewed digestive candidate. A human-gut amplicon metadata review requires complete analysis and sample pagination, uniform current amplicon analysis labels, exact old SSU column-to-analysis mapping, an explicit human host field without conflict or missing names, a separate source-annotated gut-compatible collection material, and verified biological-family independence. The seventh site axis was added after the skin-code discrepancy; the original six-field gate lacked it. A blank, false or unknown value blocks the review and names every failed field. A normalized Homo sapiens code cannot substitute for explicit host or site; a title or accession count cannot prove an independent dataset. Even a feces material annotation is source metadata, not an independent tissue assay. These fields are necessary screening checks, not sufficient conditions for an external benchmark.</w:t>
      </w:r>
    </w:p>
    <w:p>
      <w:pPr>
        <w:spacing w:after="120"/>
        <w:jc w:val="both"/>
      </w:pPr>
      <w:r>
        <w:t>Applied to the 8 viewed title-unflagged records, the gate blocks 8; 0 reach metadata-ready manual review, and zero become independently validated external datasets. MGYS00006755 illustrates why the gate has several independent axes: its exact historical run-column map is now known and its current analyses are amplicon-labeled, yet its host fields conflict in every linked sample and its biological-family independence remains unknown. MGYS00005154 now passes six amended metadata fields, including structured feces material on its exact-linked 400 samples, but remains blocked on unknown biological-family independence. MGYS00006006 has assembly-typed analyses even though the narrow title rule missed it; MGYS00000633 remains unpaged and unknown. These are explicit engineering blockers for this human-gut amplicon question, not declarations that a nonhuman or assembly source has no use for another biological question.</w:t>
      </w:r>
    </w:p>
    <w:p>
      <w:pPr>
        <w:spacing w:after="120"/>
        <w:jc w:val="both"/>
      </w:pPr>
      <w:r>
        <w:t>Even a synthetic record passing all seven amended fields returns only 'metadata ready for manual review'. Historical library methods, source-specific rights, participant lineage, a frozen holdout and a same-task comparator must still be checked before any dataset could be admitted to an external leaderboard. Unit tests assert that each field independently blocks on an unverified value, that duplicate study identities fail, and that all eight real records remain blocked. No performance score is read by this gate, and the 160-study BH calls remain as archived. Protocol and exact reason-coded output: results/PREREG_20260927_source_admission_gate.md and results/source_admission_screen.json; implementation: src/microtwin/source_admission.py.</w:t>
      </w:r>
    </w:p>
    <w:p>
      <w:pPr>
        <w:pStyle w:val="Heading3"/>
      </w:pPr>
      <w:r>
        <w:t>5.1.6 A conservative source-lineage guard</w:t>
      </w:r>
    </w:p>
    <w:p>
      <w:pPr>
        <w:spacing w:after="120"/>
        <w:jc w:val="both"/>
      </w:pPr>
      <w:r>
        <w:t>The original-project sensitivity motivates an explicit partition rule for later cross-source evaluation. A study accession, its sequencing-project accession, and a derived assembly project may be different handles for related biological material. If a researcher randomises those handles independently into training and test sets, the nominal number of held-out studies can increase while the number of underlying source projects does not. Source-family registration therefore precedes split generation: each verified alias maps to one canonical family, and every registered alias in that family must be assigned to the same partition. An accession missing from the registry is not presumed independent; it remains ineligible for the known-family separation certificate until lineage is checked. The check is deliberately asymmetric: a failed split proves that known source-family separation was violated, whereas a passing split proves only that no collision in the registered aliases was found.</w:t>
      </w:r>
    </w:p>
    <w:p>
      <w:pPr>
        <w:spacing w:after="120"/>
        <w:jc w:val="both"/>
      </w:pPr>
      <w:r>
        <w:t>For the one currently confirmed MGnify lineage pair, two assembly records carry separate MGYS identifiers, separate ERP secondary accessions, and separate derived PRJEB BioProject identifiers, but both study titles identify PRJNA715245 as their original data project. The source-lineage guard registers those seven identifiers under PRJNA715245 and rejects a train/test split spanning MGYS00006825 and the ERP identifier of MGYS00006862. A same-partition assignment passes this narrow mechanical check; an unknown accession fails. This engineering test does not retrospectively split the old within-study audit, change its 160-table BH procedure, or imply that the pair has duplicate sample accessions: the live MGnify lists have no exact SRS intersection. Conversely, zero exact SRS overlap cannot exclude donor overlap, reuse of underlying reads under changed accession labels, or laboratory and analysis-pipeline correlations. The appropriate unit for a future external benchmark must be justified by its biological question and provenance, not selected to preserve a favorable win count.</w:t>
      </w:r>
    </w:p>
    <w:p>
      <w:pPr>
        <w:spacing w:after="120"/>
        <w:jc w:val="both"/>
      </w:pPr>
      <w:r>
        <w:t>A scalable provenance ledger would keep, for every candidate, the original experiment identifier, parent sequencing project, assembly parent, sample accessions, participant or cage identifier when permitted, collection site and date, assay modality, raw-file checksums, license, and train/development/final-test status. Matching would proceed from exact IDs and file hashes to documented project relationships, and only then to a clearly labeled manual review of near-duplicates; a name similarity alone cannot be promoted to identity. Modality-specific harmonisation should occur only within training folds, with its fitted taxonomy map and normalization frozen before opening a final-test source. For repeated human samples, subject-level grouping prevents a visit from appearing in both train and test; for longitudinal mouse data, cage and donor effects may require an even wider grouping. These are prospective safeguards. The existing 131 token-unresolved MGnify rows show why a 500- or 1000-row manifest does not yet equal a 500- or 1000-independent-source benchmark. Until lineage is resolved, the positive within-study predictive association remains the proper headline, not a cross-source performance claim.</w:t>
      </w:r>
    </w:p>
    <w:p>
      <w:pPr>
        <w:pStyle w:val="Heading2"/>
      </w:pPr>
      <w:r>
        <w:t>5.2 MDSINE2 benchmark: UC beat, healthy tie</w:t>
      </w:r>
    </w:p>
    <w:p>
      <w:pPr>
        <w:keepNext/>
      </w:pPr>
      <w:r>
        <w:rPr>
          <w:b/>
        </w:rPr>
        <w:t>Table 9.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10.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11.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12.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13.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3"/>
      </w:pPr>
      <w:r>
        <w:t>5.2.3 Why a detection-plus-abundance score needs a compatible model output</w:t>
      </w:r>
    </w:p>
    <w:p>
      <w:pPr>
        <w:spacing w:after="120"/>
        <w:jc w:val="both"/>
      </w:pPr>
      <w:r>
        <w:t>A two-part microbiome forecast score would ideally measure both whether a taxon is detected and, conditional on detection, how far its abundance forecast misses. The first component needs calibrated probabilities or a threshold chosen using training-only data in a common absolute-abundance unit. The second can use the source paper's detected-truth log10 RMSE. To show why the distinction matters without claiming a new benchmark, we predeclared a diagnostic on the same viewed Figure 3 data: apply the truth definition (absolute abundance &gt;1e-5) to both models' raw absolute predictions and count timepoint-level true/false detections, then compute conditional RMSE without changing the original prediction arrays. This is not a score optimized for either method.</w:t>
      </w:r>
    </w:p>
    <w:p>
      <w:pPr>
        <w:keepNext/>
      </w:pPr>
      <w:r>
        <w:rPr>
          <w:b/>
        </w:rPr>
        <w:t>Table 14. Exploratory decomposition on viewed mouse cohorts. Sensitivity/specificity apply truth's &gt;1e-5 cutoff to continuous forecasts; they are NOT a fair calibrated detection leaderboard. Conditional RMSE medians reproduce the archived official paired metric.</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cohort</w:t>
            </w:r>
          </w:p>
        </w:tc>
        <w:tc>
          <w:tcPr>
            <w:tcW w:type="dxa" w:w="1080"/>
            <w:vAlign w:val="center"/>
          </w:tcPr>
          <w:p>
            <w:pPr>
              <w:jc w:val="left"/>
            </w:pPr>
            <w:r>
              <w:rPr>
                <w:rFonts w:ascii="Times New Roman" w:hAnsi="Times New Roman"/>
                <w:sz w:val="18"/>
              </w:rPr>
              <w:t>method</w:t>
            </w:r>
          </w:p>
        </w:tc>
        <w:tc>
          <w:tcPr>
            <w:tcW w:type="dxa" w:w="1080"/>
            <w:vAlign w:val="center"/>
          </w:tcPr>
          <w:p>
            <w:pPr>
              <w:jc w:val="left"/>
            </w:pPr>
            <w:r>
              <w:rPr>
                <w:rFonts w:ascii="Times New Roman" w:hAnsi="Times New Roman"/>
                <w:sz w:val="18"/>
              </w:rPr>
              <w:t>mice</w:t>
            </w:r>
          </w:p>
        </w:tc>
        <w:tc>
          <w:tcPr>
            <w:tcW w:type="dxa" w:w="1080"/>
            <w:vAlign w:val="center"/>
          </w:tcPr>
          <w:p>
            <w:pPr>
              <w:jc w:val="left"/>
            </w:pPr>
            <w:r>
              <w:rPr>
                <w:rFonts w:ascii="Times New Roman" w:hAnsi="Times New Roman"/>
                <w:sz w:val="18"/>
              </w:rPr>
              <w:t>truth-negative times</w:t>
            </w:r>
          </w:p>
        </w:tc>
        <w:tc>
          <w:tcPr>
            <w:tcW w:type="dxa" w:w="1080"/>
            <w:vAlign w:val="center"/>
          </w:tcPr>
          <w:p>
            <w:pPr>
              <w:jc w:val="left"/>
            </w:pPr>
            <w:r>
              <w:rPr>
                <w:rFonts w:ascii="Times New Roman" w:hAnsi="Times New Roman"/>
                <w:sz w:val="18"/>
              </w:rPr>
              <w:t>sensitivity</w:t>
            </w:r>
          </w:p>
        </w:tc>
        <w:tc>
          <w:tcPr>
            <w:tcW w:type="dxa" w:w="1080"/>
            <w:vAlign w:val="center"/>
          </w:tcPr>
          <w:p>
            <w:pPr>
              <w:jc w:val="left"/>
            </w:pPr>
            <w:r>
              <w:rPr>
                <w:rFonts w:ascii="Times New Roman" w:hAnsi="Times New Roman"/>
                <w:sz w:val="18"/>
              </w:rPr>
              <w:t>specificity</w:t>
            </w:r>
          </w:p>
        </w:tc>
        <w:tc>
          <w:tcPr>
            <w:tcW w:type="dxa" w:w="1080"/>
            <w:vAlign w:val="center"/>
          </w:tcPr>
          <w:p>
            <w:pPr>
              <w:jc w:val="left"/>
            </w:pPr>
            <w:r>
              <w:rPr>
                <w:rFonts w:ascii="Times New Roman" w:hAnsi="Times New Roman"/>
                <w:sz w:val="18"/>
              </w:rPr>
              <w:t>positive forecast rate</w:t>
            </w:r>
          </w:p>
        </w:tc>
        <w:tc>
          <w:tcPr>
            <w:tcW w:type="dxa" w:w="1080"/>
            <w:vAlign w:val="center"/>
          </w:tcPr>
          <w:p>
            <w:pPr>
              <w:jc w:val="left"/>
            </w:pPr>
            <w:r>
              <w:rPr>
                <w:rFonts w:ascii="Times New Roman" w:hAnsi="Times New Roman"/>
                <w:sz w:val="18"/>
              </w:rPr>
              <w:t>conditional RMSE median</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0.951</w:t>
            </w:r>
          </w:p>
        </w:tc>
        <w:tc>
          <w:tcPr>
            <w:tcW w:type="dxa" w:w="1080"/>
            <w:vAlign w:val="center"/>
          </w:tcPr>
          <w:p>
            <w:pPr>
              <w:jc w:val="left"/>
            </w:pPr>
            <w:r>
              <w:rPr>
                <w:rFonts w:ascii="Times New Roman" w:hAnsi="Times New Roman"/>
                <w:sz w:val="18"/>
              </w:rPr>
              <w:t>0.631</w:t>
            </w:r>
          </w:p>
        </w:tc>
        <w:tc>
          <w:tcPr>
            <w:tcW w:type="dxa" w:w="1080"/>
            <w:vAlign w:val="center"/>
          </w:tcPr>
          <w:p>
            <w:pPr>
              <w:jc w:val="left"/>
            </w:pPr>
            <w:r>
              <w:rPr>
                <w:rFonts w:ascii="Times New Roman" w:hAnsi="Times New Roman"/>
                <w:sz w:val="18"/>
              </w:rPr>
              <w:t>0.679</w:t>
            </w:r>
          </w:p>
        </w:tc>
        <w:tc>
          <w:tcPr>
            <w:tcW w:type="dxa" w:w="1080"/>
            <w:vAlign w:val="center"/>
          </w:tcPr>
          <w:p>
            <w:pPr>
              <w:jc w:val="left"/>
            </w:pPr>
            <w:r>
              <w:rPr>
                <w:rFonts w:ascii="Times New Roman" w:hAnsi="Times New Roman"/>
                <w:sz w:val="18"/>
              </w:rPr>
              <w:t>0.919</w:t>
            </w:r>
          </w:p>
        </w:tc>
      </w:tr>
      <w:tr>
        <w:tc>
          <w:tcPr>
            <w:tcW w:type="dxa" w:w="1080"/>
            <w:vAlign w:val="center"/>
          </w:tcPr>
          <w:p>
            <w:pPr>
              <w:jc w:val="left"/>
            </w:pPr>
            <w:r>
              <w:rPr>
                <w:rFonts w:ascii="Times New Roman" w:hAnsi="Times New Roman"/>
                <w:sz w:val="18"/>
              </w:rPr>
              <w:t>healthy</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19535</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0.913</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population baseline</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0.971</w:t>
            </w:r>
          </w:p>
        </w:tc>
        <w:tc>
          <w:tcPr>
            <w:tcW w:type="dxa" w:w="1080"/>
            <w:vAlign w:val="center"/>
          </w:tcPr>
          <w:p>
            <w:pPr>
              <w:jc w:val="left"/>
            </w:pPr>
            <w:r>
              <w:rPr>
                <w:rFonts w:ascii="Times New Roman" w:hAnsi="Times New Roman"/>
                <w:sz w:val="18"/>
              </w:rPr>
              <w:t>0.581</w:t>
            </w:r>
          </w:p>
        </w:tc>
        <w:tc>
          <w:tcPr>
            <w:tcW w:type="dxa" w:w="1080"/>
            <w:vAlign w:val="center"/>
          </w:tcPr>
          <w:p>
            <w:pPr>
              <w:jc w:val="left"/>
            </w:pPr>
            <w:r>
              <w:rPr>
                <w:rFonts w:ascii="Times New Roman" w:hAnsi="Times New Roman"/>
                <w:sz w:val="18"/>
              </w:rPr>
              <w:t>0.745</w:t>
            </w:r>
          </w:p>
        </w:tc>
        <w:tc>
          <w:tcPr>
            <w:tcW w:type="dxa" w:w="1080"/>
            <w:vAlign w:val="center"/>
          </w:tcPr>
          <w:p>
            <w:pPr>
              <w:jc w:val="left"/>
            </w:pPr>
            <w:r>
              <w:rPr>
                <w:rFonts w:ascii="Times New Roman" w:hAnsi="Times New Roman"/>
                <w:sz w:val="18"/>
              </w:rPr>
              <w:t>0.692</w:t>
            </w:r>
          </w:p>
        </w:tc>
      </w:tr>
      <w:tr>
        <w:tc>
          <w:tcPr>
            <w:tcW w:type="dxa" w:w="1080"/>
            <w:vAlign w:val="center"/>
          </w:tcPr>
          <w:p>
            <w:pPr>
              <w:jc w:val="left"/>
            </w:pPr>
            <w:r>
              <w:rPr>
                <w:rFonts w:ascii="Times New Roman" w:hAnsi="Times New Roman"/>
                <w:sz w:val="18"/>
              </w:rPr>
              <w:t>uc</w:t>
            </w:r>
          </w:p>
        </w:tc>
        <w:tc>
          <w:tcPr>
            <w:tcW w:type="dxa" w:w="1080"/>
            <w:vAlign w:val="center"/>
          </w:tcPr>
          <w:p>
            <w:pPr>
              <w:jc w:val="left"/>
            </w:pPr>
            <w:r>
              <w:rPr>
                <w:rFonts w:ascii="Times New Roman" w:hAnsi="Times New Roman"/>
                <w:sz w:val="18"/>
              </w:rPr>
              <w:t>MDSINE2 no modules</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18449</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0.805</w:t>
            </w:r>
          </w:p>
        </w:tc>
      </w:tr>
    </w:tbl>
    <w:p>
      <w:pPr>
        <w:spacing w:after="120"/>
        <w:jc w:val="both"/>
      </w:pPr>
      <w:r>
        <w:t>At this cutoff the released MDSINE2-without-modules continuous abundance forecasts are positive at almost all 41,877 healthy and 45,012 UC taxon-timepoints. Only eight healthy and five UC truth-negative timepoints are forecast below the cutoff, giving specificity near zero; sensitivity is 100%. The training-population baseline scores more true negatives but misses some true positives. It would be misleading to advertise the resulting balanced-accuracy gap as a new win: MDSINE2-NM did not expose a calibrated detection classifier, the truth cutoff is not a prefit model-output threshold, taxon-timepoints are repeated within four or five mice, and both source cohorts were already inspected. Conditional-abundance pair medians agree exactly with the archived official result: healthy 0.919 baseline versus 0.913 comparator, UC 0.692 versus 0.805. A proper future two-part benchmark would freeze a train-only detection calibrator and evaluate detection and abundance separately at source-family and mouse levels on a truly untouched cohort; no such evaluation exists here.</w:t>
      </w:r>
    </w:p>
    <w:p>
      <w:pPr>
        <w:pStyle w:val="Heading3"/>
      </w:pPr>
      <w:r>
        <w:t>5.2.3 Mouse-level two-part sensitivity</w:t>
      </w:r>
    </w:p>
    <w:p>
      <w:pPr>
        <w:spacing w:after="120"/>
        <w:jc w:val="both"/>
      </w:pPr>
      <w:r>
        <w:t>Pooling tens of thousands of taxon-timepoints is useful for checking a forecast-output threshold, but it hides the actual sample size of four healthy-donor and five UC-donor mice. We therefore applied the same fixed threshold separately to each held-out mouse, with no new threshold fit. The observed detection statuses, prediction construction, and detected-only abundance errors are unchanged; per-mouse confusion matrices sum exactly to the pooled counts above and per-mouse conditional RMSE matches the earlier calculation. The table reports equal-weight mouse medians and median within-mouse baseline-minus-MDSINE2-no-modules differences, not confidence intervals over pseudo-replicated timepoints.</w:t>
      </w:r>
    </w:p>
    <w:p>
      <w:pPr>
        <w:keepNext/>
      </w:pPr>
      <w:r>
        <w:rPr>
          <w:b/>
        </w:rPr>
        <w:t>Table 15. Exploratory viewed-cohort per-mouse decomposition. Difference is baseline minus MDSINE2 without modules; lower conditional RMSE is better. Detection cutoff applied directly to continuous forecasts is not a calibrated detector benchmark.</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cohort</w:t>
            </w:r>
          </w:p>
        </w:tc>
        <w:tc>
          <w:tcPr>
            <w:tcW w:type="dxa" w:w="1234"/>
            <w:vAlign w:val="center"/>
          </w:tcPr>
          <w:p>
            <w:pPr>
              <w:jc w:val="left"/>
            </w:pPr>
            <w:r>
              <w:rPr>
                <w:rFonts w:ascii="Times New Roman" w:hAnsi="Times New Roman"/>
                <w:sz w:val="18"/>
              </w:rPr>
              <w:t>endpoint</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baseline median</w:t>
            </w:r>
          </w:p>
        </w:tc>
        <w:tc>
          <w:tcPr>
            <w:tcW w:type="dxa" w:w="1234"/>
            <w:vAlign w:val="center"/>
          </w:tcPr>
          <w:p>
            <w:pPr>
              <w:jc w:val="left"/>
            </w:pPr>
            <w:r>
              <w:rPr>
                <w:rFonts w:ascii="Times New Roman" w:hAnsi="Times New Roman"/>
                <w:sz w:val="18"/>
              </w:rPr>
              <w:t>comparator median</w:t>
            </w:r>
          </w:p>
        </w:tc>
        <w:tc>
          <w:tcPr>
            <w:tcW w:type="dxa" w:w="1234"/>
            <w:vAlign w:val="center"/>
          </w:tcPr>
          <w:p>
            <w:pPr>
              <w:jc w:val="left"/>
            </w:pPr>
            <w:r>
              <w:rPr>
                <w:rFonts w:ascii="Times New Roman" w:hAnsi="Times New Roman"/>
                <w:sz w:val="18"/>
              </w:rPr>
              <w:t>paired median difference</w:t>
            </w:r>
          </w:p>
        </w:tc>
        <w:tc>
          <w:tcPr>
            <w:tcW w:type="dxa" w:w="1234"/>
            <w:vAlign w:val="center"/>
          </w:tcPr>
          <w:p>
            <w:pPr>
              <w:jc w:val="left"/>
            </w:pPr>
            <w:r>
              <w:rPr>
                <w:rFonts w:ascii="Times New Roman" w:hAnsi="Times New Roman"/>
                <w:sz w:val="18"/>
              </w:rPr>
              <w:t>baseline higher/lower mice</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0.951</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0.639</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0.795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0.295</w:t>
            </w:r>
          </w:p>
        </w:tc>
        <w:tc>
          <w:tcPr>
            <w:tcW w:type="dxa" w:w="1234"/>
            <w:vAlign w:val="center"/>
          </w:tcPr>
          <w:p>
            <w:pPr>
              <w:jc w:val="left"/>
            </w:pPr>
            <w:r>
              <w:rPr>
                <w:rFonts w:ascii="Times New Roman" w:hAnsi="Times New Roman"/>
                <w:sz w:val="18"/>
              </w:rPr>
              <w:t>4/0</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0.679</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-0.321</w:t>
            </w:r>
          </w:p>
        </w:tc>
        <w:tc>
          <w:tcPr>
            <w:tcW w:type="dxa" w:w="1234"/>
            <w:vAlign w:val="center"/>
          </w:tcPr>
          <w:p>
            <w:pPr>
              <w:jc w:val="left"/>
            </w:pPr>
            <w:r>
              <w:rPr>
                <w:rFonts w:ascii="Times New Roman" w:hAnsi="Times New Roman"/>
                <w:sz w:val="18"/>
              </w:rPr>
              <w:t>0/4</w:t>
            </w:r>
          </w:p>
        </w:tc>
      </w:tr>
      <w:tr>
        <w:tc>
          <w:tcPr>
            <w:tcW w:type="dxa" w:w="1234"/>
            <w:vAlign w:val="center"/>
          </w:tcPr>
          <w:p>
            <w:pPr>
              <w:jc w:val="left"/>
            </w:pPr>
            <w:r>
              <w:rPr>
                <w:rFonts w:ascii="Times New Roman" w:hAnsi="Times New Roman"/>
                <w:sz w:val="18"/>
              </w:rPr>
              <w:t>healthy</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0.923</w:t>
            </w:r>
          </w:p>
        </w:tc>
        <w:tc>
          <w:tcPr>
            <w:tcW w:type="dxa" w:w="1234"/>
            <w:vAlign w:val="center"/>
          </w:tcPr>
          <w:p>
            <w:pPr>
              <w:jc w:val="left"/>
            </w:pPr>
            <w:r>
              <w:rPr>
                <w:rFonts w:ascii="Times New Roman" w:hAnsi="Times New Roman"/>
                <w:sz w:val="18"/>
              </w:rPr>
              <w:t>0.917</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1/3</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sensitivity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0.973</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-0.027</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specificity</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0.000</w:t>
            </w:r>
          </w:p>
        </w:tc>
        <w:tc>
          <w:tcPr>
            <w:tcW w:type="dxa" w:w="1234"/>
            <w:vAlign w:val="center"/>
          </w:tcPr>
          <w:p>
            <w:pPr>
              <w:jc w:val="left"/>
            </w:pPr>
            <w:r>
              <w:rPr>
                <w:rFonts w:ascii="Times New Roman" w:hAnsi="Times New Roman"/>
                <w:sz w:val="18"/>
              </w:rPr>
              <w:t>0.578</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balanced acc.</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0.775</w:t>
            </w:r>
          </w:p>
        </w:tc>
        <w:tc>
          <w:tcPr>
            <w:tcW w:type="dxa" w:w="1234"/>
            <w:vAlign w:val="center"/>
          </w:tcPr>
          <w:p>
            <w:pPr>
              <w:jc w:val="left"/>
            </w:pPr>
            <w:r>
              <w:rPr>
                <w:rFonts w:ascii="Times New Roman" w:hAnsi="Times New Roman"/>
                <w:sz w:val="18"/>
              </w:rPr>
              <w:t>0.500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5/0</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positive rate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0.746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-0.253</w:t>
            </w:r>
          </w:p>
        </w:tc>
        <w:tc>
          <w:tcPr>
            <w:tcW w:type="dxa" w:w="1234"/>
            <w:vAlign w:val="center"/>
          </w:tcPr>
          <w:p>
            <w:pPr>
              <w:jc w:val="left"/>
            </w:pPr>
            <w:r>
              <w:rPr>
                <w:rFonts w:ascii="Times New Roman" w:hAnsi="Times New Roman"/>
                <w:sz w:val="18"/>
              </w:rPr>
              <w:t>0/5</w:t>
            </w:r>
          </w:p>
        </w:tc>
      </w:tr>
      <w:tr>
        <w:tc>
          <w:tcPr>
            <w:tcW w:type="dxa" w:w="1234"/>
            <w:vAlign w:val="center"/>
          </w:tcPr>
          <w:p>
            <w:pPr>
              <w:jc w:val="left"/>
            </w:pPr>
            <w:r>
              <w:rPr>
                <w:rFonts w:ascii="Times New Roman" w:hAnsi="Times New Roman"/>
                <w:sz w:val="18"/>
              </w:rPr>
              <w:t>uc</w:t>
            </w:r>
          </w:p>
        </w:tc>
        <w:tc>
          <w:tcPr>
            <w:tcW w:type="dxa" w:w="1234"/>
            <w:vAlign w:val="center"/>
          </w:tcPr>
          <w:p>
            <w:pPr>
              <w:jc w:val="left"/>
            </w:pPr>
            <w:r>
              <w:rPr>
                <w:rFonts w:ascii="Times New Roman" w:hAnsi="Times New Roman"/>
                <w:sz w:val="18"/>
              </w:rPr>
              <w:t>conditional RMSE</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0.712</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-0.130</w:t>
            </w:r>
          </w:p>
        </w:tc>
        <w:tc>
          <w:tcPr>
            <w:tcW w:type="dxa" w:w="1234"/>
            <w:vAlign w:val="center"/>
          </w:tcPr>
          <w:p>
            <w:pPr>
              <w:jc w:val="left"/>
            </w:pPr>
            <w:r>
              <w:rPr>
                <w:rFonts w:ascii="Times New Roman" w:hAnsi="Times New Roman"/>
                <w:sz w:val="18"/>
              </w:rPr>
              <w:t>0/5</w:t>
            </w:r>
          </w:p>
        </w:tc>
      </w:tr>
    </w:tbl>
    <w:p>
      <w:pPr>
        <w:spacing w:after="120"/>
        <w:jc w:val="both"/>
      </w:pPr>
      <w:r>
        <w:t>Every healthy mouse has baseline specificity greater than 0.595 and the continuous MDSINE2-no-modules output has zero or near-zero specificity at the raw truth cutoff. The pattern repeats in every UC mouse, with baseline specificity 0.572-0.590 and comparator specificity 0-0.0011. This consistency across mice prevents one unusually sampled subject from explaining the pooled output-threshold incompatibility, but it does not create a fair detection leaderboard: the continuous comparator was not trained or calibrated to issue binary calls at this cutoff. Predicting almost all timepoints as positive also gives it perfect sensitivity by construction. The abundance story is separate. The baseline has lower conditional RMSE in three of four healthy mice yet a slightly worse pooled taxon-pair median, illustrating how aggregation and the biological unit alter the description without changing any forecast. It has lower conditional RMSE in all five UC mice. Neither within-cohort pattern establishes source transfer, clinical detection accuracy, or the response to diet or antibiotics. A prospective head-to-head would define a train-only detection score and threshold for each method, preserve mouse or donor grouping, and test the frozen pipelines on a disjoint source family.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3"/>
      </w:pPr>
      <w:r>
        <w:t>5.3.1 Local model capacity and budget inventory</w:t>
      </w:r>
    </w:p>
    <w:p>
      <w:pPr>
        <w:spacing w:after="120"/>
        <w:jc w:val="both"/>
      </w:pPr>
      <w:r>
        <w:t>The critique rightly asks whether the local model ranking reflects ecological information or a capacity and optimization mismatch. To make that question testable, we counted trainable scalar weights in the exact local implementations at each of the six already viewed cNODE dataset dimensions and paired the counts with their archived ten-fold sample-error vectors. The closed-form presence mean counts one fitted mean per taxon, while cNODE has a full n-by-n matrix and the gLV implementation has that matrix plus n intrinsic rates. GraphTwin's default two-layer, 32-dimensional architecture has roughly fourteen to sixteen thousand trainable scalars. The table is an inventory of available comparisons, not a matched-parameter or matched-FLOP experiment. It preserves the archived same-fold vectors rather than rerunning or choosing a width after seeing the test errors.</w:t>
      </w:r>
    </w:p>
    <w:p>
      <w:pPr>
        <w:keepNext/>
      </w:pPr>
      <w:r>
        <w:rPr>
          <w:b/>
        </w:rPr>
        <w:t>Table 17. Local implementation and archived same-fold error inventory, on six viewed cNODE ecosystem tables. Counts omit non-trainable buffers; zero epochs means a closed-form prior. Error medians are local ten-fold values, not the published cNODE LOO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taxa</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fitted scalars</w:t>
            </w:r>
          </w:p>
        </w:tc>
        <w:tc>
          <w:tcPr>
            <w:tcW w:type="dxa" w:w="1234"/>
            <w:vAlign w:val="center"/>
          </w:tcPr>
          <w:p>
            <w:pPr>
              <w:jc w:val="left"/>
            </w:pPr>
            <w:r>
              <w:rPr>
                <w:rFonts w:ascii="Times New Roman" w:hAnsi="Times New Roman"/>
                <w:sz w:val="18"/>
              </w:rPr>
              <w:t>epochs</w:t>
            </w:r>
          </w:p>
        </w:tc>
        <w:tc>
          <w:tcPr>
            <w:tcW w:type="dxa" w:w="1234"/>
            <w:vAlign w:val="center"/>
          </w:tcPr>
          <w:p>
            <w:pPr>
              <w:jc w:val="left"/>
            </w:pPr>
            <w:r>
              <w:rPr>
                <w:rFonts w:ascii="Times New Roman" w:hAnsi="Times New Roman"/>
                <w:sz w:val="18"/>
              </w:rPr>
              <w:t>10-fold BC median</w:t>
            </w:r>
          </w:p>
        </w:tc>
        <w:tc>
          <w:tcPr>
            <w:tcW w:type="dxa" w:w="1234"/>
            <w:vAlign w:val="center"/>
          </w:tcPr>
          <w:p>
            <w:pPr>
              <w:jc w:val="left"/>
            </w:pPr>
            <w:r>
              <w:rPr>
                <w:rFonts w:ascii="Times New Roman" w:hAnsi="Times New Roman"/>
                <w:sz w:val="18"/>
              </w:rPr>
              <w:t>better/worse samples vs prior</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25</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16/7</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30</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17/6</w:t>
            </w:r>
          </w:p>
        </w:tc>
      </w:tr>
      <w:tr>
        <w:tc>
          <w:tcPr>
            <w:tcW w:type="dxa" w:w="1234"/>
            <w:vAlign w:val="center"/>
          </w:tcPr>
          <w:p>
            <w:pPr>
              <w:jc w:val="left"/>
            </w:pPr>
            <w:r>
              <w:rPr>
                <w:rFonts w:ascii="Times New Roman" w:hAnsi="Times New Roman"/>
                <w:sz w:val="18"/>
              </w:rPr>
              <w:t>Drosophila</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13761</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15/8</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22/21</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72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13857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21/22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21/122</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69/74</w:t>
            </w:r>
          </w:p>
        </w:tc>
      </w:tr>
      <w:tr>
        <w:tc>
          <w:tcPr>
            <w:tcW w:type="dxa" w:w="1234"/>
            <w:vAlign w:val="center"/>
          </w:tcPr>
          <w:p>
            <w:pPr>
              <w:jc w:val="left"/>
            </w:pPr>
            <w:r>
              <w:rPr>
                <w:rFonts w:ascii="Times New Roman" w:hAnsi="Times New Roman"/>
                <w:sz w:val="18"/>
              </w:rPr>
              <w:t>Oral</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75/68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3364</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31/75</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3422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58/48</w:t>
            </w:r>
          </w:p>
        </w:tc>
      </w:tr>
      <w:tr>
        <w:tc>
          <w:tcPr>
            <w:tcW w:type="dxa" w:w="1234"/>
            <w:vAlign w:val="center"/>
          </w:tcPr>
          <w:p>
            <w:pPr>
              <w:jc w:val="left"/>
            </w:pPr>
            <w:r>
              <w:rPr>
                <w:rFonts w:ascii="Times New Roman" w:hAnsi="Times New Roman"/>
                <w:sz w:val="18"/>
              </w:rPr>
              <w:t>Gut</w:t>
            </w:r>
          </w:p>
        </w:tc>
        <w:tc>
          <w:tcPr>
            <w:tcW w:type="dxa" w:w="1234"/>
            <w:vAlign w:val="center"/>
          </w:tcPr>
          <w:p>
            <w:pPr>
              <w:jc w:val="left"/>
            </w:pPr>
            <w:r>
              <w:rPr>
                <w:rFonts w:ascii="Times New Roman" w:hAnsi="Times New Roman"/>
                <w:sz w:val="18"/>
              </w:rPr>
              <w:t>58</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15457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49/57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5329</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51/217</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5402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180/88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73</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15937</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158/110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prior</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0</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cNODE</w:t>
            </w:r>
          </w:p>
        </w:tc>
        <w:tc>
          <w:tcPr>
            <w:tcW w:type="dxa" w:w="1234"/>
            <w:vAlign w:val="center"/>
          </w:tcPr>
          <w:p>
            <w:pPr>
              <w:jc w:val="left"/>
            </w:pPr>
            <w:r>
              <w:rPr>
                <w:rFonts w:ascii="Times New Roman" w:hAnsi="Times New Roman"/>
                <w:sz w:val="18"/>
              </w:rPr>
              <w:t>1296</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314/364</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gLV</w:t>
            </w:r>
          </w:p>
        </w:tc>
        <w:tc>
          <w:tcPr>
            <w:tcW w:type="dxa" w:w="1234"/>
            <w:vAlign w:val="center"/>
          </w:tcPr>
          <w:p>
            <w:pPr>
              <w:jc w:val="left"/>
            </w:pPr>
            <w:r>
              <w:rPr>
                <w:rFonts w:ascii="Times New Roman" w:hAnsi="Times New Roman"/>
                <w:sz w:val="18"/>
              </w:rPr>
              <w:t>1332</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466/212</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36</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14753</w:t>
            </w:r>
          </w:p>
        </w:tc>
        <w:tc>
          <w:tcPr>
            <w:tcW w:type="dxa" w:w="1234"/>
            <w:vAlign w:val="center"/>
          </w:tcPr>
          <w:p>
            <w:pPr>
              <w:jc w:val="left"/>
            </w:pPr>
            <w:r>
              <w:rPr>
                <w:rFonts w:ascii="Times New Roman" w:hAnsi="Times New Roman"/>
                <w:sz w:val="18"/>
              </w:rPr>
              <w:t>150</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407/271</w:t>
            </w:r>
          </w:p>
        </w:tc>
      </w:tr>
    </w:tbl>
    <w:p>
      <w:pPr>
        <w:spacing w:after="120"/>
        <w:jc w:val="both"/>
      </w:pPr>
      <w:r>
        <w:t>Increasing scalar count does not order the six local scores. In human gut, the 58-parameter population prior has median BC 0.256, compared with cNODE's 3,364 parameters at 0.275, gLV's 3,422 at 0.244 and GraphTwin's 15,457 at 0.287. On Drosophila gut, the 30-parameter gLV has median 0.052 versus 13,761-parameter GraphTwin at 0.093, though the previously reported gLV ten-fold apparent beat over published cNODE was retracted after a protocol-matched leave-one-out check. On Ocean, gLV and GraphTwin both have lower local ten-fold medians than the 73-parameter prior, 0.070 and 0.071 versus 0.093. These observations show no simple monotone model-size ranking; they cannot tell whether larger networks lack signal, are over- or underfit, or optimize a mismatched objective. cNODE and gLV use 200 epochs at learning rate 0.01, while GraphTwin uses 150 at 0.005, and different forward passes make even equal epochs unequal compute. Optimizer convergence, seed variance, FLOPs and wall-time by fold were not pinned in the old result JSONs. A credible capacity pivot must preselect widths and depths, parameter-matched variants within architecture, identical frozen folds, several training seeds and train-only early stopping, and then report model failure and compute along with error on an independent source. This inventory answers what was fit locally, not why one class wins.</w:t>
      </w:r>
    </w:p>
    <w:p>
      <w:pPr>
        <w:pStyle w:val="Heading2"/>
      </w:pPr>
      <w:r>
        <w:t>5.4 cNODE benchmark: interactions help outside humans, not detectably on human data</w:t>
      </w:r>
    </w:p>
    <w:p>
      <w:pPr>
        <w:keepNext/>
      </w:pPr>
      <w:r>
        <w:rPr>
          <w:b/>
        </w:rPr>
        <w:t>Table 18.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19.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3"/>
      </w:pPr>
      <w:r>
        <w:t>5.4.1 Internal split-calibrated error radii, not a reliability index</w:t>
      </w:r>
    </w:p>
    <w:p>
      <w:pPr>
        <w:spacing w:after="120"/>
        <w:jc w:val="both"/>
      </w:pPr>
      <w:r>
        <w:t>A local research predictor can state what its uncertainty check actually measured without turning it into a clinical or cross-source promise. We fitted the same PresenceMean composition prior separately on 60% of each of six previously viewed cNODE ecosystem tables, calibrated on floor 20%, and checked the remaining samples after assemblage deduplication under one seed. For each labeled calibration sample we computed Bray-Curtis error between the fixed predictor and observed composition. At target miscoverage alpha=0.1, the radius is the ceil((n_cal+1)(1-alpha))-th sorted calibration error; if that rank exceeds n_cal, it returns the vacuous Bray-Curtis maximum 1. This is an error-radius check for a composition predictor, not a set of intervals for individual taxa.</w:t>
      </w:r>
    </w:p>
    <w:p>
      <w:pPr>
        <w:keepNext/>
      </w:pPr>
      <w:r>
        <w:rPr>
          <w:b/>
        </w:rPr>
        <w:t>Table 20. One 60/20/20 within-table split for the PresenceMean baseline, seed zero. Empirical test coverage is descriptive; nominal 90% marginal coverage requires exchangeability and does not hold deterministically in each finite test set.</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ecosystem</w:t>
            </w:r>
          </w:p>
        </w:tc>
        <w:tc>
          <w:tcPr>
            <w:tcW w:type="dxa" w:w="1080"/>
            <w:vAlign w:val="center"/>
          </w:tcPr>
          <w:p>
            <w:pPr>
              <w:jc w:val="left"/>
            </w:pPr>
            <w:r>
              <w:rPr>
                <w:rFonts w:ascii="Times New Roman" w:hAnsi="Times New Roman"/>
                <w:sz w:val="18"/>
              </w:rPr>
              <w:t>train</w:t>
            </w:r>
          </w:p>
        </w:tc>
        <w:tc>
          <w:tcPr>
            <w:tcW w:type="dxa" w:w="1080"/>
            <w:vAlign w:val="center"/>
          </w:tcPr>
          <w:p>
            <w:pPr>
              <w:jc w:val="left"/>
            </w:pPr>
            <w:r>
              <w:rPr>
                <w:rFonts w:ascii="Times New Roman" w:hAnsi="Times New Roman"/>
                <w:sz w:val="18"/>
              </w:rPr>
              <w:t>cal</w:t>
            </w:r>
          </w:p>
        </w:tc>
        <w:tc>
          <w:tcPr>
            <w:tcW w:type="dxa" w:w="1080"/>
            <w:vAlign w:val="center"/>
          </w:tcPr>
          <w:p>
            <w:pPr>
              <w:jc w:val="left"/>
            </w:pPr>
            <w:r>
              <w:rPr>
                <w:rFonts w:ascii="Times New Roman" w:hAnsi="Times New Roman"/>
                <w:sz w:val="18"/>
              </w:rPr>
              <w:t>test</w:t>
            </w:r>
          </w:p>
        </w:tc>
        <w:tc>
          <w:tcPr>
            <w:tcW w:type="dxa" w:w="1080"/>
            <w:vAlign w:val="center"/>
          </w:tcPr>
          <w:p>
            <w:pPr>
              <w:jc w:val="left"/>
            </w:pPr>
            <w:r>
              <w:rPr>
                <w:rFonts w:ascii="Times New Roman" w:hAnsi="Times New Roman"/>
                <w:sz w:val="18"/>
              </w:rPr>
              <w:t>radius</w:t>
            </w:r>
          </w:p>
        </w:tc>
        <w:tc>
          <w:tcPr>
            <w:tcW w:type="dxa" w:w="1080"/>
            <w:vAlign w:val="center"/>
          </w:tcPr>
          <w:p>
            <w:pPr>
              <w:jc w:val="left"/>
            </w:pPr>
            <w:r>
              <w:rPr>
                <w:rFonts w:ascii="Times New Roman" w:hAnsi="Times New Roman"/>
                <w:sz w:val="18"/>
              </w:rPr>
              <w:t>covered</w:t>
            </w:r>
          </w:p>
        </w:tc>
        <w:tc>
          <w:tcPr>
            <w:tcW w:type="dxa" w:w="1080"/>
            <w:vAlign w:val="center"/>
          </w:tcPr>
          <w:p>
            <w:pPr>
              <w:jc w:val="left"/>
            </w:pPr>
            <w:r>
              <w:rPr>
                <w:rFonts w:ascii="Times New Roman" w:hAnsi="Times New Roman"/>
                <w:sz w:val="18"/>
              </w:rPr>
              <w:t>empirical coverage</w:t>
            </w:r>
          </w:p>
        </w:tc>
        <w:tc>
          <w:tcPr>
            <w:tcW w:type="dxa" w:w="1080"/>
            <w:vAlign w:val="center"/>
          </w:tcPr>
          <w:p>
            <w:pPr>
              <w:jc w:val="left"/>
            </w:pPr>
            <w:r>
              <w:rPr>
                <w:rFonts w:ascii="Times New Roman" w:hAnsi="Times New Roman"/>
                <w:sz w:val="18"/>
              </w:rPr>
              <w:t>vacuous</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161</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52/55</w:t>
            </w:r>
          </w:p>
        </w:tc>
        <w:tc>
          <w:tcPr>
            <w:tcW w:type="dxa" w:w="1080"/>
            <w:vAlign w:val="center"/>
          </w:tcPr>
          <w:p>
            <w:pPr>
              <w:jc w:val="left"/>
            </w:pPr>
            <w:r>
              <w:rPr>
                <w:rFonts w:ascii="Times New Roman" w:hAnsi="Times New Roman"/>
                <w:sz w:val="18"/>
              </w:rPr>
              <w:t>94.5%</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14</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100.0%</w:t>
            </w:r>
          </w:p>
        </w:tc>
        <w:tc>
          <w:tcPr>
            <w:tcW w:type="dxa" w:w="1080"/>
            <w:vAlign w:val="center"/>
          </w:tcPr>
          <w:p>
            <w:pPr>
              <w:jc w:val="left"/>
            </w:pPr>
            <w:r>
              <w:rPr>
                <w:rFonts w:ascii="Times New Roman" w:hAnsi="Times New Roman"/>
                <w:sz w:val="18"/>
              </w:rPr>
              <w:t>yes</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9</w:t>
            </w:r>
          </w:p>
        </w:tc>
        <w:tc>
          <w:tcPr>
            <w:tcW w:type="dxa" w:w="1080"/>
            <w:vAlign w:val="center"/>
          </w:tcPr>
          <w:p>
            <w:pPr>
              <w:jc w:val="left"/>
            </w:pPr>
            <w:r>
              <w:rPr>
                <w:rFonts w:ascii="Times New Roman" w:hAnsi="Times New Roman"/>
                <w:sz w:val="18"/>
              </w:rPr>
              <w:t>11</w:t>
            </w:r>
          </w:p>
        </w:tc>
        <w:tc>
          <w:tcPr>
            <w:tcW w:type="dxa" w:w="1080"/>
            <w:vAlign w:val="center"/>
          </w:tcPr>
          <w:p>
            <w:pPr>
              <w:jc w:val="left"/>
            </w:pPr>
            <w:r>
              <w:rPr>
                <w:rFonts w:ascii="Times New Roman" w:hAnsi="Times New Roman"/>
                <w:sz w:val="18"/>
              </w:rPr>
              <w:t>0.441</w:t>
            </w:r>
          </w:p>
        </w:tc>
        <w:tc>
          <w:tcPr>
            <w:tcW w:type="dxa" w:w="1080"/>
            <w:vAlign w:val="center"/>
          </w:tcPr>
          <w:p>
            <w:pPr>
              <w:jc w:val="left"/>
            </w:pPr>
            <w:r>
              <w:rPr>
                <w:rFonts w:ascii="Times New Roman" w:hAnsi="Times New Roman"/>
                <w:sz w:val="18"/>
              </w:rPr>
              <w:t>9/11</w:t>
            </w:r>
          </w:p>
        </w:tc>
        <w:tc>
          <w:tcPr>
            <w:tcW w:type="dxa" w:w="1080"/>
            <w:vAlign w:val="center"/>
          </w:tcPr>
          <w:p>
            <w:pPr>
              <w:jc w:val="left"/>
            </w:pPr>
            <w:r>
              <w:rPr>
                <w:rFonts w:ascii="Times New Roman" w:hAnsi="Times New Roman"/>
                <w:sz w:val="18"/>
              </w:rPr>
              <w:t>81.8%</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Soil Vivo</w:t>
            </w:r>
          </w:p>
        </w:tc>
        <w:tc>
          <w:tcPr>
            <w:tcW w:type="dxa" w:w="1080"/>
            <w:vAlign w:val="center"/>
          </w:tcPr>
          <w:p>
            <w:pPr>
              <w:jc w:val="left"/>
            </w:pPr>
            <w:r>
              <w:rPr>
                <w:rFonts w:ascii="Times New Roman" w:hAnsi="Times New Roman"/>
                <w:sz w:val="18"/>
              </w:rPr>
              <w:t>406</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122/137</w:t>
            </w:r>
          </w:p>
        </w:tc>
        <w:tc>
          <w:tcPr>
            <w:tcW w:type="dxa" w:w="1080"/>
            <w:vAlign w:val="center"/>
          </w:tcPr>
          <w:p>
            <w:pPr>
              <w:jc w:val="left"/>
            </w:pPr>
            <w:r>
              <w:rPr>
                <w:rFonts w:ascii="Times New Roman" w:hAnsi="Times New Roman"/>
                <w:sz w:val="18"/>
              </w:rPr>
              <w:t>89.1%</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29/30</w:t>
            </w:r>
          </w:p>
        </w:tc>
        <w:tc>
          <w:tcPr>
            <w:tcW w:type="dxa" w:w="1080"/>
            <w:vAlign w:val="center"/>
          </w:tcPr>
          <w:p>
            <w:pPr>
              <w:jc w:val="left"/>
            </w:pPr>
            <w:r>
              <w:rPr>
                <w:rFonts w:ascii="Times New Roman" w:hAnsi="Times New Roman"/>
                <w:sz w:val="18"/>
              </w:rPr>
              <w:t>96.7%</w:t>
            </w:r>
          </w:p>
        </w:tc>
        <w:tc>
          <w:tcPr>
            <w:tcW w:type="dxa" w:w="1080"/>
            <w:vAlign w:val="center"/>
          </w:tcPr>
          <w:p>
            <w:pPr>
              <w:jc w:val="left"/>
            </w:pPr>
            <w:r>
              <w:rPr>
                <w:rFonts w:ascii="Times New Roman" w:hAnsi="Times New Roman"/>
                <w:sz w:val="18"/>
              </w:rPr>
              <w:t>no</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22</w:t>
            </w:r>
          </w:p>
        </w:tc>
        <w:tc>
          <w:tcPr>
            <w:tcW w:type="dxa" w:w="1080"/>
            <w:vAlign w:val="center"/>
          </w:tcPr>
          <w:p>
            <w:pPr>
              <w:jc w:val="left"/>
            </w:pPr>
            <w:r>
              <w:rPr>
                <w:rFonts w:ascii="Times New Roman" w:hAnsi="Times New Roman"/>
                <w:sz w:val="18"/>
              </w:rPr>
              <w:t>0.430</w:t>
            </w:r>
          </w:p>
        </w:tc>
        <w:tc>
          <w:tcPr>
            <w:tcW w:type="dxa" w:w="1080"/>
            <w:vAlign w:val="center"/>
          </w:tcPr>
          <w:p>
            <w:pPr>
              <w:jc w:val="left"/>
            </w:pPr>
            <w:r>
              <w:rPr>
                <w:rFonts w:ascii="Times New Roman" w:hAnsi="Times New Roman"/>
                <w:sz w:val="18"/>
              </w:rPr>
              <w:t>19/22</w:t>
            </w:r>
          </w:p>
        </w:tc>
        <w:tc>
          <w:tcPr>
            <w:tcW w:type="dxa" w:w="1080"/>
            <w:vAlign w:val="center"/>
          </w:tcPr>
          <w:p>
            <w:pPr>
              <w:jc w:val="left"/>
            </w:pPr>
            <w:r>
              <w:rPr>
                <w:rFonts w:ascii="Times New Roman" w:hAnsi="Times New Roman"/>
                <w:sz w:val="18"/>
              </w:rPr>
              <w:t>86.4%</w:t>
            </w:r>
          </w:p>
        </w:tc>
        <w:tc>
          <w:tcPr>
            <w:tcW w:type="dxa" w:w="1080"/>
            <w:vAlign w:val="center"/>
          </w:tcPr>
          <w:p>
            <w:pPr>
              <w:jc w:val="left"/>
            </w:pPr>
            <w:r>
              <w:rPr>
                <w:rFonts w:ascii="Times New Roman" w:hAnsi="Times New Roman"/>
                <w:sz w:val="18"/>
              </w:rPr>
              <w:t>no</w:t>
            </w:r>
          </w:p>
        </w:tc>
      </w:tr>
    </w:tbl>
    <w:p>
      <w:pPr>
        <w:spacing w:after="120"/>
        <w:jc w:val="both"/>
      </w:pPr>
      <w:r>
        <w:t>The Ocean test covered 52/55 observations at radius 0.223; Human Oral covered 29/30 at radius 0.407. Soil in vitro covered 9/11, Soil in vivo 122/137 and Human Gut 19/22, all below 90% as realized proportions. Drosophila Gut covered 6/6 only because four calibration samples forced the vacuous radius 1.0; it provides no useful discrimination. Small finite test proportions are not direct proof of a failure of marginal conformal theory, and a radius calibrated on one table need not transfer to a new biome, assay, participant or perturbation. The source tables were already viewed and their split is within-dataset, not a held-out biological source. No Twin Reliability Index is calibrated or reported. Source SHA-256 values, splits, quantile ranks and exact result fractions are in results/internal_conformal_check.json; implementation: scripts/internal_conformal_check.py and src/microtwin/conformal.py.</w:t>
      </w:r>
    </w:p>
    <w:p>
      <w:pPr>
        <w:pStyle w:val="Heading3"/>
      </w:pPr>
      <w:r>
        <w:t>5.4.2 End-to-end predictor check after input-only abstention</w:t>
      </w:r>
    </w:p>
    <w:p>
      <w:pPr>
        <w:spacing w:after="120"/>
        <w:jc w:val="both"/>
      </w:pPr>
      <w:r>
        <w:t>The preceding radius calculation checked the frozen model directly. A separate already-run end-to-end check fed six previously viewed tables into the released local calibrated-prediction path with the same seeded candidate split. The command refuses a calibration or query sample with a present taxon absent from the training vocabulary. The check therefore removed such rows using only their input taxon presence, before measuring errors, then reported coverage on the admissible test rows. This conditional denominator differs from the all-candidate split in Section 5.4.1: it cannot be presented as unconditional 90% coverage or as successful prediction of abstained rows.</w:t>
      </w:r>
    </w:p>
    <w:p>
      <w:pPr>
        <w:keepNext/>
      </w:pPr>
      <w:r>
        <w:rPr>
          <w:b/>
        </w:rPr>
        <w:t>Table 21. Actual local calibrated prediction path on six already-viewed cNODE tables. Rows with unseen present taxa were excluded by input-only abstention before scoring; split seed zero. This is an admissible-row sensitivity, not an external validation result.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ecosystem</w:t>
            </w:r>
          </w:p>
        </w:tc>
        <w:tc>
          <w:tcPr>
            <w:tcW w:type="dxa" w:w="1234"/>
            <w:vAlign w:val="center"/>
          </w:tcPr>
          <w:p>
            <w:pPr>
              <w:jc w:val="left"/>
            </w:pPr>
            <w:r>
              <w:rPr>
                <w:rFonts w:ascii="Times New Roman" w:hAnsi="Times New Roman"/>
                <w:sz w:val="18"/>
              </w:rPr>
              <w:t>cal kept/candidate</w:t>
            </w:r>
          </w:p>
        </w:tc>
        <w:tc>
          <w:tcPr>
            <w:tcW w:type="dxa" w:w="1234"/>
            <w:vAlign w:val="center"/>
          </w:tcPr>
          <w:p>
            <w:pPr>
              <w:jc w:val="left"/>
            </w:pPr>
            <w:r>
              <w:rPr>
                <w:rFonts w:ascii="Times New Roman" w:hAnsi="Times New Roman"/>
                <w:sz w:val="18"/>
              </w:rPr>
              <w:t>test kept/candidate</w:t>
            </w:r>
          </w:p>
        </w:tc>
        <w:tc>
          <w:tcPr>
            <w:tcW w:type="dxa" w:w="1234"/>
            <w:vAlign w:val="center"/>
          </w:tcPr>
          <w:p>
            <w:pPr>
              <w:jc w:val="left"/>
            </w:pPr>
            <w:r>
              <w:rPr>
                <w:rFonts w:ascii="Times New Roman" w:hAnsi="Times New Roman"/>
                <w:sz w:val="18"/>
              </w:rPr>
              <w:t>radius</w:t>
            </w:r>
          </w:p>
        </w:tc>
        <w:tc>
          <w:tcPr>
            <w:tcW w:type="dxa" w:w="1234"/>
            <w:vAlign w:val="center"/>
          </w:tcPr>
          <w:p>
            <w:pPr>
              <w:jc w:val="left"/>
            </w:pPr>
            <w:r>
              <w:rPr>
                <w:rFonts w:ascii="Times New Roman" w:hAnsi="Times New Roman"/>
                <w:sz w:val="18"/>
              </w:rPr>
              <w:t>covered/scored</w:t>
            </w:r>
          </w:p>
        </w:tc>
        <w:tc>
          <w:tcPr>
            <w:tcW w:type="dxa" w:w="1234"/>
            <w:vAlign w:val="center"/>
          </w:tcPr>
          <w:p>
            <w:pPr>
              <w:jc w:val="left"/>
            </w:pPr>
            <w:r>
              <w:rPr>
                <w:rFonts w:ascii="Times New Roman" w:hAnsi="Times New Roman"/>
                <w:sz w:val="18"/>
              </w:rPr>
              <w:t>scored coverage</w:t>
            </w:r>
          </w:p>
        </w:tc>
        <w:tc>
          <w:tcPr>
            <w:tcW w:type="dxa" w:w="1234"/>
            <w:vAlign w:val="center"/>
          </w:tcPr>
          <w:p>
            <w:pPr>
              <w:jc w:val="left"/>
            </w:pPr>
            <w:r>
              <w:rPr>
                <w:rFonts w:ascii="Times New Roman" w:hAnsi="Times New Roman"/>
                <w:sz w:val="18"/>
              </w:rPr>
              <w:t>vacuous</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52/53</w:t>
            </w:r>
          </w:p>
        </w:tc>
        <w:tc>
          <w:tcPr>
            <w:tcW w:type="dxa" w:w="1234"/>
            <w:vAlign w:val="center"/>
          </w:tcPr>
          <w:p>
            <w:pPr>
              <w:jc w:val="left"/>
            </w:pPr>
            <w:r>
              <w:rPr>
                <w:rFonts w:ascii="Times New Roman" w:hAnsi="Times New Roman"/>
                <w:sz w:val="18"/>
              </w:rPr>
              <w:t>55/55</w:t>
            </w:r>
          </w:p>
        </w:tc>
        <w:tc>
          <w:tcPr>
            <w:tcW w:type="dxa" w:w="1234"/>
            <w:vAlign w:val="center"/>
          </w:tcPr>
          <w:p>
            <w:pPr>
              <w:jc w:val="left"/>
            </w:pPr>
            <w:r>
              <w:rPr>
                <w:rFonts w:ascii="Times New Roman" w:hAnsi="Times New Roman"/>
                <w:sz w:val="18"/>
              </w:rPr>
              <w:t>0.193</w:t>
            </w:r>
          </w:p>
        </w:tc>
        <w:tc>
          <w:tcPr>
            <w:tcW w:type="dxa" w:w="1234"/>
            <w:vAlign w:val="center"/>
          </w:tcPr>
          <w:p>
            <w:pPr>
              <w:jc w:val="left"/>
            </w:pPr>
            <w:r>
              <w:rPr>
                <w:rFonts w:ascii="Times New Roman" w:hAnsi="Times New Roman"/>
                <w:sz w:val="18"/>
              </w:rPr>
              <w:t>51/55</w:t>
            </w:r>
          </w:p>
        </w:tc>
        <w:tc>
          <w:tcPr>
            <w:tcW w:type="dxa" w:w="1234"/>
            <w:vAlign w:val="center"/>
          </w:tcPr>
          <w:p>
            <w:pPr>
              <w:jc w:val="left"/>
            </w:pPr>
            <w:r>
              <w:rPr>
                <w:rFonts w:ascii="Times New Roman" w:hAnsi="Times New Roman"/>
                <w:sz w:val="18"/>
              </w:rPr>
              <w:t>92.7%</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Drosophila Gut</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6/6</w:t>
            </w:r>
          </w:p>
        </w:tc>
        <w:tc>
          <w:tcPr>
            <w:tcW w:type="dxa" w:w="1234"/>
            <w:vAlign w:val="center"/>
          </w:tcPr>
          <w:p>
            <w:pPr>
              <w:jc w:val="left"/>
            </w:pPr>
            <w:r>
              <w:rPr>
                <w:rFonts w:ascii="Times New Roman" w:hAnsi="Times New Roman"/>
                <w:sz w:val="18"/>
              </w:rPr>
              <w:t>100.0%</w:t>
            </w:r>
          </w:p>
        </w:tc>
        <w:tc>
          <w:tcPr>
            <w:tcW w:type="dxa" w:w="1234"/>
            <w:vAlign w:val="center"/>
          </w:tcPr>
          <w:p>
            <w:pPr>
              <w:jc w:val="left"/>
            </w:pPr>
            <w:r>
              <w:rPr>
                <w:rFonts w:ascii="Times New Roman" w:hAnsi="Times New Roman"/>
                <w:sz w:val="18"/>
              </w:rPr>
              <w:t>yes</w:t>
            </w:r>
          </w:p>
        </w:tc>
      </w:tr>
      <w:tr>
        <w:tc>
          <w:tcPr>
            <w:tcW w:type="dxa" w:w="1234"/>
            <w:vAlign w:val="center"/>
          </w:tcPr>
          <w:p>
            <w:pPr>
              <w:jc w:val="left"/>
            </w:pPr>
            <w:r>
              <w:rPr>
                <w:rFonts w:ascii="Times New Roman" w:hAnsi="Times New Roman"/>
                <w:sz w:val="18"/>
              </w:rPr>
              <w:t>Soil Vitro</w:t>
            </w:r>
          </w:p>
        </w:tc>
        <w:tc>
          <w:tcPr>
            <w:tcW w:type="dxa" w:w="1234"/>
            <w:vAlign w:val="center"/>
          </w:tcPr>
          <w:p>
            <w:pPr>
              <w:jc w:val="left"/>
            </w:pPr>
            <w:r>
              <w:rPr>
                <w:rFonts w:ascii="Times New Roman" w:hAnsi="Times New Roman"/>
                <w:sz w:val="18"/>
              </w:rPr>
              <w:t>9/9</w:t>
            </w:r>
          </w:p>
        </w:tc>
        <w:tc>
          <w:tcPr>
            <w:tcW w:type="dxa" w:w="1234"/>
            <w:vAlign w:val="center"/>
          </w:tcPr>
          <w:p>
            <w:pPr>
              <w:jc w:val="left"/>
            </w:pPr>
            <w:r>
              <w:rPr>
                <w:rFonts w:ascii="Times New Roman" w:hAnsi="Times New Roman"/>
                <w:sz w:val="18"/>
              </w:rPr>
              <w:t>11/11</w:t>
            </w:r>
          </w:p>
        </w:tc>
        <w:tc>
          <w:tcPr>
            <w:tcW w:type="dxa" w:w="1234"/>
            <w:vAlign w:val="center"/>
          </w:tcPr>
          <w:p>
            <w:pPr>
              <w:jc w:val="left"/>
            </w:pPr>
            <w:r>
              <w:rPr>
                <w:rFonts w:ascii="Times New Roman" w:hAnsi="Times New Roman"/>
                <w:sz w:val="18"/>
              </w:rPr>
              <w:t>0.441</w:t>
            </w:r>
          </w:p>
        </w:tc>
        <w:tc>
          <w:tcPr>
            <w:tcW w:type="dxa" w:w="1234"/>
            <w:vAlign w:val="center"/>
          </w:tcPr>
          <w:p>
            <w:pPr>
              <w:jc w:val="left"/>
            </w:pPr>
            <w:r>
              <w:rPr>
                <w:rFonts w:ascii="Times New Roman" w:hAnsi="Times New Roman"/>
                <w:sz w:val="18"/>
              </w:rPr>
              <w:t>9/11</w:t>
            </w:r>
          </w:p>
        </w:tc>
        <w:tc>
          <w:tcPr>
            <w:tcW w:type="dxa" w:w="1234"/>
            <w:vAlign w:val="center"/>
          </w:tcPr>
          <w:p>
            <w:pPr>
              <w:jc w:val="left"/>
            </w:pPr>
            <w:r>
              <w:rPr>
                <w:rFonts w:ascii="Times New Roman" w:hAnsi="Times New Roman"/>
                <w:sz w:val="18"/>
              </w:rPr>
              <w:t>81.8%</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Soil Vivo</w:t>
            </w:r>
          </w:p>
        </w:tc>
        <w:tc>
          <w:tcPr>
            <w:tcW w:type="dxa" w:w="1234"/>
            <w:vAlign w:val="center"/>
          </w:tcPr>
          <w:p>
            <w:pPr>
              <w:jc w:val="left"/>
            </w:pPr>
            <w:r>
              <w:rPr>
                <w:rFonts w:ascii="Times New Roman" w:hAnsi="Times New Roman"/>
                <w:sz w:val="18"/>
              </w:rPr>
              <w:t>132/135</w:t>
            </w:r>
          </w:p>
        </w:tc>
        <w:tc>
          <w:tcPr>
            <w:tcW w:type="dxa" w:w="1234"/>
            <w:vAlign w:val="center"/>
          </w:tcPr>
          <w:p>
            <w:pPr>
              <w:jc w:val="left"/>
            </w:pPr>
            <w:r>
              <w:rPr>
                <w:rFonts w:ascii="Times New Roman" w:hAnsi="Times New Roman"/>
                <w:sz w:val="18"/>
              </w:rPr>
              <w:t>135/137</w:t>
            </w:r>
          </w:p>
        </w:tc>
        <w:tc>
          <w:tcPr>
            <w:tcW w:type="dxa" w:w="1234"/>
            <w:vAlign w:val="center"/>
          </w:tcPr>
          <w:p>
            <w:pPr>
              <w:jc w:val="left"/>
            </w:pPr>
            <w:r>
              <w:rPr>
                <w:rFonts w:ascii="Times New Roman" w:hAnsi="Times New Roman"/>
                <w:sz w:val="18"/>
              </w:rPr>
              <w:t>0.225</w:t>
            </w:r>
          </w:p>
        </w:tc>
        <w:tc>
          <w:tcPr>
            <w:tcW w:type="dxa" w:w="1234"/>
            <w:vAlign w:val="center"/>
          </w:tcPr>
          <w:p>
            <w:pPr>
              <w:jc w:val="left"/>
            </w:pPr>
            <w:r>
              <w:rPr>
                <w:rFonts w:ascii="Times New Roman" w:hAnsi="Times New Roman"/>
                <w:sz w:val="18"/>
              </w:rPr>
              <w:t>120/135</w:t>
            </w:r>
          </w:p>
        </w:tc>
        <w:tc>
          <w:tcPr>
            <w:tcW w:type="dxa" w:w="1234"/>
            <w:vAlign w:val="center"/>
          </w:tcPr>
          <w:p>
            <w:pPr>
              <w:jc w:val="left"/>
            </w:pPr>
            <w:r>
              <w:rPr>
                <w:rFonts w:ascii="Times New Roman" w:hAnsi="Times New Roman"/>
                <w:sz w:val="18"/>
              </w:rPr>
              <w:t>88.9%</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Oral</w:t>
            </w:r>
          </w:p>
        </w:tc>
        <w:tc>
          <w:tcPr>
            <w:tcW w:type="dxa" w:w="1234"/>
            <w:vAlign w:val="center"/>
          </w:tcPr>
          <w:p>
            <w:pPr>
              <w:jc w:val="left"/>
            </w:pPr>
            <w:r>
              <w:rPr>
                <w:rFonts w:ascii="Times New Roman" w:hAnsi="Times New Roman"/>
                <w:sz w:val="18"/>
              </w:rPr>
              <w:t>26/28</w:t>
            </w:r>
          </w:p>
        </w:tc>
        <w:tc>
          <w:tcPr>
            <w:tcW w:type="dxa" w:w="1234"/>
            <w:vAlign w:val="center"/>
          </w:tcPr>
          <w:p>
            <w:pPr>
              <w:jc w:val="left"/>
            </w:pPr>
            <w:r>
              <w:rPr>
                <w:rFonts w:ascii="Times New Roman" w:hAnsi="Times New Roman"/>
                <w:sz w:val="18"/>
              </w:rPr>
              <w:t>28/30</w:t>
            </w:r>
          </w:p>
        </w:tc>
        <w:tc>
          <w:tcPr>
            <w:tcW w:type="dxa" w:w="1234"/>
            <w:vAlign w:val="center"/>
          </w:tcPr>
          <w:p>
            <w:pPr>
              <w:jc w:val="left"/>
            </w:pPr>
            <w:r>
              <w:rPr>
                <w:rFonts w:ascii="Times New Roman" w:hAnsi="Times New Roman"/>
                <w:sz w:val="18"/>
              </w:rPr>
              <w:t>0.407</w:t>
            </w:r>
          </w:p>
        </w:tc>
        <w:tc>
          <w:tcPr>
            <w:tcW w:type="dxa" w:w="1234"/>
            <w:vAlign w:val="center"/>
          </w:tcPr>
          <w:p>
            <w:pPr>
              <w:jc w:val="left"/>
            </w:pPr>
            <w:r>
              <w:rPr>
                <w:rFonts w:ascii="Times New Roman" w:hAnsi="Times New Roman"/>
                <w:sz w:val="18"/>
              </w:rPr>
              <w:t>27/28</w:t>
            </w:r>
          </w:p>
        </w:tc>
        <w:tc>
          <w:tcPr>
            <w:tcW w:type="dxa" w:w="1234"/>
            <w:vAlign w:val="center"/>
          </w:tcPr>
          <w:p>
            <w:pPr>
              <w:jc w:val="left"/>
            </w:pPr>
            <w:r>
              <w:rPr>
                <w:rFonts w:ascii="Times New Roman" w:hAnsi="Times New Roman"/>
                <w:sz w:val="18"/>
              </w:rPr>
              <w:t>96.4%</w:t>
            </w:r>
          </w:p>
        </w:tc>
        <w:tc>
          <w:tcPr>
            <w:tcW w:type="dxa" w:w="1234"/>
            <w:vAlign w:val="center"/>
          </w:tcPr>
          <w:p>
            <w:pPr>
              <w:jc w:val="left"/>
            </w:pPr>
            <w:r>
              <w:rPr>
                <w:rFonts w:ascii="Times New Roman" w:hAnsi="Times New Roman"/>
                <w:sz w:val="18"/>
              </w:rPr>
              <w:t>no</w:t>
            </w:r>
          </w:p>
        </w:tc>
      </w:tr>
      <w:tr>
        <w:tc>
          <w:tcPr>
            <w:tcW w:type="dxa" w:w="1234"/>
            <w:vAlign w:val="center"/>
          </w:tcPr>
          <w:p>
            <w:pPr>
              <w:jc w:val="left"/>
            </w:pPr>
            <w:r>
              <w:rPr>
                <w:rFonts w:ascii="Times New Roman" w:hAnsi="Times New Roman"/>
                <w:sz w:val="18"/>
              </w:rPr>
              <w:t>Human Gut</w:t>
            </w:r>
          </w:p>
        </w:tc>
        <w:tc>
          <w:tcPr>
            <w:tcW w:type="dxa" w:w="1234"/>
            <w:vAlign w:val="center"/>
          </w:tcPr>
          <w:p>
            <w:pPr>
              <w:jc w:val="left"/>
            </w:pPr>
            <w:r>
              <w:rPr>
                <w:rFonts w:ascii="Times New Roman" w:hAnsi="Times New Roman"/>
                <w:sz w:val="18"/>
              </w:rPr>
              <w:t>21/21</w:t>
            </w:r>
          </w:p>
        </w:tc>
        <w:tc>
          <w:tcPr>
            <w:tcW w:type="dxa" w:w="1234"/>
            <w:vAlign w:val="center"/>
          </w:tcPr>
          <w:p>
            <w:pPr>
              <w:jc w:val="left"/>
            </w:pPr>
            <w:r>
              <w:rPr>
                <w:rFonts w:ascii="Times New Roman" w:hAnsi="Times New Roman"/>
                <w:sz w:val="18"/>
              </w:rPr>
              <w:t>22/22</w:t>
            </w:r>
          </w:p>
        </w:tc>
        <w:tc>
          <w:tcPr>
            <w:tcW w:type="dxa" w:w="1234"/>
            <w:vAlign w:val="center"/>
          </w:tcPr>
          <w:p>
            <w:pPr>
              <w:jc w:val="left"/>
            </w:pPr>
            <w:r>
              <w:rPr>
                <w:rFonts w:ascii="Times New Roman" w:hAnsi="Times New Roman"/>
                <w:sz w:val="18"/>
              </w:rPr>
              <w:t>0.430</w:t>
            </w:r>
          </w:p>
        </w:tc>
        <w:tc>
          <w:tcPr>
            <w:tcW w:type="dxa" w:w="1234"/>
            <w:vAlign w:val="center"/>
          </w:tcPr>
          <w:p>
            <w:pPr>
              <w:jc w:val="left"/>
            </w:pPr>
            <w:r>
              <w:rPr>
                <w:rFonts w:ascii="Times New Roman" w:hAnsi="Times New Roman"/>
                <w:sz w:val="18"/>
              </w:rPr>
              <w:t>19/22</w:t>
            </w:r>
          </w:p>
        </w:tc>
        <w:tc>
          <w:tcPr>
            <w:tcW w:type="dxa" w:w="1234"/>
            <w:vAlign w:val="center"/>
          </w:tcPr>
          <w:p>
            <w:pPr>
              <w:jc w:val="left"/>
            </w:pPr>
            <w:r>
              <w:rPr>
                <w:rFonts w:ascii="Times New Roman" w:hAnsi="Times New Roman"/>
                <w:sz w:val="18"/>
              </w:rPr>
              <w:t>86.4%</w:t>
            </w:r>
          </w:p>
        </w:tc>
        <w:tc>
          <w:tcPr>
            <w:tcW w:type="dxa" w:w="1234"/>
            <w:vAlign w:val="center"/>
          </w:tcPr>
          <w:p>
            <w:pPr>
              <w:jc w:val="left"/>
            </w:pPr>
            <w:r>
              <w:rPr>
                <w:rFonts w:ascii="Times New Roman" w:hAnsi="Times New Roman"/>
                <w:sz w:val="18"/>
              </w:rPr>
              <w:t>no</w:t>
            </w:r>
          </w:p>
        </w:tc>
      </w:tr>
    </w:tbl>
    <w:p>
      <w:pPr>
        <w:spacing w:after="120"/>
        <w:jc w:val="both"/>
      </w:pPr>
      <w:r>
        <w:t>Ocean loses one of 53 calibration candidates and covers 51/55 scored tests at radius 0.193. Soil in vivo loses three calibration and two test candidates, then covers 120/135 at radius 0.225. Human Oral loses two calibration and two test rows, covering 27/28 at radius 0.407. Soil in vitro still covers 9/11, Human Gut 19/22, and Drosophila Gut 6/6 with the same vacuous radius 1.0. For every scored table, the command's predictions match the archived PresenceMean implementation to better than 2e-15 absolute maximum deviation; this is a numerical implementation check, not independent ecological replication. No experiment here verifies sample exchangeability across participants or source families, and no Twin Reliability Index or clinical guarantee follows. Candidate and scored counts, source hashes and per-table numerical deviations are in results/local_calibrated_six_dataset_check.json; runnable check: scripts/local_calibrated_six_dataset_check.py.</w:t>
      </w:r>
    </w:p>
    <w:p>
      <w:pPr>
        <w:pStyle w:val="Heading1"/>
      </w:pPr>
      <w:r>
        <w:t>Measured extension: first-period stool-metabolite forecasting</w:t>
      </w:r>
    </w:p>
    <w:p>
      <w:pPr>
        <w:spacing w:after="120"/>
        <w:jc w:val="both"/>
      </w:pPr>
      <w:r>
        <w:t>A personalized research platform needs a task with measurable targets, known sample units and an honest boundary around what its model predicts. The next measured extension therefore uses targeted stool short-chain fatty acid (SCFA) concentrations rather than borrowing an unverified taxonomic table or treating predicted gene functions as observed biology. The public 2026 yogurt and rolled-oats crossover study supplies an explicitly CC BY 4.0 metabolite deposit, Zenodo record 15363886. Its eight analytes are 2-methylbutyric acid, acetic acid, butyric acid, hexanoic acid, isobutyric acid, isovaleric acid, propionic acid and valeric acid, measured in micrograms per gram of stool. This is a different measurement contract from relative microbial abundance: concentrations are not normalized to sum to one, and predicting them does not certify taxonomic composition, causal ecological interactions or clinical benefit.</w:t>
      </w:r>
    </w:p>
    <w:p>
      <w:pPr>
        <w:spacing w:after="120"/>
        <w:jc w:val="both"/>
      </w:pPr>
      <w:r>
        <w:t>The original trial randomized 119 adults; 110 completed all four phases. Each participant consumed 250 grams of yogurt daily in one four-week intervention and the same yogurt plus 50 grams of rolled oats daily in another. Treatment order was randomized, with four-week washout phases. The deposit contains 462 samples, of which 440 are main samples and 22 are quality-control duplicates. All main samples form unique submitted subject-time coordinates across four phases. The analysis deliberately uses only the first baseline and first post-intervention sample. It does not learn from the second intervention, pool repeated periods as independent people or assume that washout eliminated carryover. Group A receives yogurt first and group B receives yogurt plus oats first. The model sees that intervention label, but the task remains a forecast in observed treated participants, not an estimate of what the same person would have experienced without treatment.</w:t>
      </w:r>
    </w:p>
    <w:p>
      <w:pPr>
        <w:spacing w:after="120"/>
        <w:jc w:val="both"/>
      </w:pPr>
      <w:r>
        <w:t>Metadata inspection preceded any concentration scoring. This order found an important difference between nominal phase labels and actual collection dates. First-period intervals range from 24 to 138 days in the deposited metadata, while later washout intervals include two nonpositive values and some date endpoints do not parse. These entries were not silently repaired. The frozen first-period task retains only baseline-to-follow-up intervals of 21 through 35 days, inclusive. This bounds collection separation without pretending that dietary start, adherence or exact exposure duration were measured by the sample label. The result cannot support a continuous-time kinetic model or a clinical scheduling recommendation. Public scripts elsewhere in the author repository include illustrative participant clinical records; those records are neither model features nor public outputs of this analysis.</w:t>
      </w:r>
    </w:p>
    <w:p>
      <w:pPr>
        <w:spacing w:after="120"/>
        <w:jc w:val="both"/>
      </w:pPr>
      <w:r>
        <w:t>The concentration workbook has 3,696 unique sample-analyte records, exactly eight for each of its 462 sample labels, and those labels match the metabolite metadata. Units and material are uniform. The local reproduction script verifies the original workbook MD5 and metadata SHA-256 before processing. Primary assay eligibility is strict: all baseline and target cells must be finite nonnegative numbers, within their stated lower and upper quantitation limits, and free of nonempty analysis comments. The laboratory report says that values outside calibration range may be extrapolated and flagged BLOQ or ALOQ. The analysis does not convert those flags to zero, remove an inconvenient metabolite, or impute a favorable response. Complete-case filtering leaves 84 subjects, 42 in each treatment-order group. Twenty-five subjects fail the assay rule and one fails the collection interval. This restriction is material: the estimates apply to quantifiable complete cases, not all randomized participants or all low-concentration specimens.</w:t>
      </w:r>
    </w:p>
    <w:p>
      <w:pPr>
        <w:spacing w:after="120"/>
        <w:jc w:val="both"/>
      </w:pPr>
      <w:r>
        <w:t>A frozen five-fold subject split holds out entire submitted people. Within each arm, sorted subject labels are shuffled with a fixed random seed and assigned cyclically to folds. Log1p baseline concentrations are standardized using training-fold statistics. A ridge model with fixed alpha 10 predicts change in log concentration from eight baseline features, the assigned first intervention, and eight baseline-by-intervention products. Predicted target log concentrations are clipped only below zero; there is no compositional projection. No hyperparameter search, effect-based feature selection or alternate model variant follows the score. The comparators are persistence, training-only same-arm mean log change, and the mean change of the three nearest same-arm baseline donors. Neighbors are selected in training-standardized baseline space. This is a demanding practical comparison because a personalized predictor must add value over carrying the last measurement forward or borrowing an observed donor response.</w:t>
      </w:r>
    </w:p>
    <w:p>
      <w:pPr>
        <w:spacing w:after="120"/>
        <w:jc w:val="both"/>
      </w:pPr>
      <w:r>
        <w:t>The primary error averages absolute log concentration errors across analytes after scaling by each target-log training-fold standard deviation, then averages over held-out subjects. Scaling prevents a large natural range in one analyte from dominating every other target; it does not create a universal reliability score. Secondary results retain unscaled log errors and per-analyte errors. The useful-win rule was frozen before outcome inspection: at least ten percent lower primary error than each comparator, with a negative upper bound on each paired subject-bootstrap interval. The bootstrap uses 2,000 subject resamples and is descriptive within this study. It does not establish independent-source replication, correct for all previous development choices or supply calibrated patient-level prediction intervals.</w:t>
      </w:r>
    </w:p>
    <w:p>
      <w:pPr>
        <w:keepNext/>
      </w:pPr>
      <w:r>
        <w:rPr>
          <w:b/>
        </w:rPr>
        <w:t>Table 22. First-period SCFA held-subject development forecasts, 84 complete-case subjects; smaller error is better.</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Forecast</w:t>
            </w:r>
          </w:p>
        </w:tc>
        <w:tc>
          <w:tcPr>
            <w:tcW w:type="dxa" w:w="2880"/>
            <w:vAlign w:val="center"/>
          </w:tcPr>
          <w:p>
            <w:pPr>
              <w:jc w:val="left"/>
            </w:pPr>
            <w:r>
              <w:rPr>
                <w:rFonts w:ascii="Times New Roman" w:hAnsi="Times New Roman"/>
                <w:sz w:val="18"/>
              </w:rPr>
              <w:t>Standardized log error</w:t>
            </w:r>
          </w:p>
        </w:tc>
        <w:tc>
          <w:tcPr>
            <w:tcW w:type="dxa" w:w="2880"/>
            <w:vAlign w:val="center"/>
          </w:tcPr>
          <w:p>
            <w:pPr>
              <w:jc w:val="left"/>
            </w:pPr>
            <w:r>
              <w:rPr>
                <w:rFonts w:ascii="Times New Roman" w:hAnsi="Times New Roman"/>
                <w:sz w:val="18"/>
              </w:rPr>
              <w:t>Unscaled log error</w:t>
            </w:r>
          </w:p>
        </w:tc>
      </w:tr>
      <w:tr>
        <w:tc>
          <w:tcPr>
            <w:tcW w:type="dxa" w:w="2880"/>
            <w:vAlign w:val="center"/>
          </w:tcPr>
          <w:p>
            <w:pPr>
              <w:jc w:val="left"/>
            </w:pPr>
            <w:r>
              <w:rPr>
                <w:rFonts w:ascii="Times New Roman" w:hAnsi="Times New Roman"/>
                <w:sz w:val="18"/>
              </w:rPr>
              <w:t>ridge</w:t>
            </w:r>
          </w:p>
        </w:tc>
        <w:tc>
          <w:tcPr>
            <w:tcW w:type="dxa" w:w="2880"/>
            <w:vAlign w:val="center"/>
          </w:tcPr>
          <w:p>
            <w:pPr>
              <w:jc w:val="left"/>
            </w:pPr>
            <w:r>
              <w:rPr>
                <w:rFonts w:ascii="Times New Roman" w:hAnsi="Times New Roman"/>
                <w:sz w:val="18"/>
              </w:rPr>
              <w:t>0.703</w:t>
            </w:r>
          </w:p>
        </w:tc>
        <w:tc>
          <w:tcPr>
            <w:tcW w:type="dxa" w:w="2880"/>
            <w:vAlign w:val="center"/>
          </w:tcPr>
          <w:p>
            <w:pPr>
              <w:jc w:val="left"/>
            </w:pPr>
            <w:r>
              <w:rPr>
                <w:rFonts w:ascii="Times New Roman" w:hAnsi="Times New Roman"/>
                <w:sz w:val="18"/>
              </w:rPr>
              <w:t>0.447</w:t>
            </w:r>
          </w:p>
        </w:tc>
      </w:tr>
      <w:tr>
        <w:tc>
          <w:tcPr>
            <w:tcW w:type="dxa" w:w="2880"/>
            <w:vAlign w:val="center"/>
          </w:tcPr>
          <w:p>
            <w:pPr>
              <w:jc w:val="left"/>
            </w:pPr>
            <w:r>
              <w:rPr>
                <w:rFonts w:ascii="Times New Roman" w:hAnsi="Times New Roman"/>
                <w:sz w:val="18"/>
              </w:rPr>
              <w:t>persistence</w:t>
            </w:r>
          </w:p>
        </w:tc>
        <w:tc>
          <w:tcPr>
            <w:tcW w:type="dxa" w:w="2880"/>
            <w:vAlign w:val="center"/>
          </w:tcPr>
          <w:p>
            <w:pPr>
              <w:jc w:val="left"/>
            </w:pPr>
            <w:r>
              <w:rPr>
                <w:rFonts w:ascii="Times New Roman" w:hAnsi="Times New Roman"/>
                <w:sz w:val="18"/>
              </w:rPr>
              <w:t>0.799</w:t>
            </w:r>
          </w:p>
        </w:tc>
        <w:tc>
          <w:tcPr>
            <w:tcW w:type="dxa" w:w="2880"/>
            <w:vAlign w:val="center"/>
          </w:tcPr>
          <w:p>
            <w:pPr>
              <w:jc w:val="left"/>
            </w:pPr>
            <w:r>
              <w:rPr>
                <w:rFonts w:ascii="Times New Roman" w:hAnsi="Times New Roman"/>
                <w:sz w:val="18"/>
              </w:rPr>
              <w:t>0.495</w:t>
            </w:r>
          </w:p>
        </w:tc>
      </w:tr>
      <w:tr>
        <w:tc>
          <w:tcPr>
            <w:tcW w:type="dxa" w:w="2880"/>
            <w:vAlign w:val="center"/>
          </w:tcPr>
          <w:p>
            <w:pPr>
              <w:jc w:val="left"/>
            </w:pPr>
            <w:r>
              <w:rPr>
                <w:rFonts w:ascii="Times New Roman" w:hAnsi="Times New Roman"/>
                <w:sz w:val="18"/>
              </w:rPr>
              <w:t>arm_mean</w:t>
            </w:r>
          </w:p>
        </w:tc>
        <w:tc>
          <w:tcPr>
            <w:tcW w:type="dxa" w:w="2880"/>
            <w:vAlign w:val="center"/>
          </w:tcPr>
          <w:p>
            <w:pPr>
              <w:jc w:val="left"/>
            </w:pPr>
            <w:r>
              <w:rPr>
                <w:rFonts w:ascii="Times New Roman" w:hAnsi="Times New Roman"/>
                <w:sz w:val="18"/>
              </w:rPr>
              <w:t>0.807</w:t>
            </w:r>
          </w:p>
        </w:tc>
        <w:tc>
          <w:tcPr>
            <w:tcW w:type="dxa" w:w="2880"/>
            <w:vAlign w:val="center"/>
          </w:tcPr>
          <w:p>
            <w:pPr>
              <w:jc w:val="left"/>
            </w:pPr>
            <w:r>
              <w:rPr>
                <w:rFonts w:ascii="Times New Roman" w:hAnsi="Times New Roman"/>
                <w:sz w:val="18"/>
              </w:rPr>
              <w:t>0.502</w:t>
            </w:r>
          </w:p>
        </w:tc>
      </w:tr>
      <w:tr>
        <w:tc>
          <w:tcPr>
            <w:tcW w:type="dxa" w:w="2880"/>
            <w:vAlign w:val="center"/>
          </w:tcPr>
          <w:p>
            <w:pPr>
              <w:jc w:val="left"/>
            </w:pPr>
            <w:r>
              <w:rPr>
                <w:rFonts w:ascii="Times New Roman" w:hAnsi="Times New Roman"/>
                <w:sz w:val="18"/>
              </w:rPr>
              <w:t>nearest_three</w:t>
            </w:r>
          </w:p>
        </w:tc>
        <w:tc>
          <w:tcPr>
            <w:tcW w:type="dxa" w:w="2880"/>
            <w:vAlign w:val="center"/>
          </w:tcPr>
          <w:p>
            <w:pPr>
              <w:jc w:val="left"/>
            </w:pPr>
            <w:r>
              <w:rPr>
                <w:rFonts w:ascii="Times New Roman" w:hAnsi="Times New Roman"/>
                <w:sz w:val="18"/>
              </w:rPr>
              <w:t>0.776</w:t>
            </w:r>
          </w:p>
        </w:tc>
        <w:tc>
          <w:tcPr>
            <w:tcW w:type="dxa" w:w="2880"/>
            <w:vAlign w:val="center"/>
          </w:tcPr>
          <w:p>
            <w:pPr>
              <w:jc w:val="left"/>
            </w:pPr>
            <w:r>
              <w:rPr>
                <w:rFonts w:ascii="Times New Roman" w:hAnsi="Times New Roman"/>
                <w:sz w:val="18"/>
              </w:rPr>
              <w:t>0.497</w:t>
            </w:r>
          </w:p>
        </w:tc>
      </w:tr>
    </w:tbl>
    <w:p>
      <w:pPr>
        <w:spacing w:after="120"/>
        <w:jc w:val="both"/>
      </w:pPr>
      <w:r>
        <w:t>The fixed ridge forecast has primary mean error 0.702517, compared with 0.798983 for persistence, 0.806896 for same-arm mean change and 0.775684 for nearest-three donors. Relative improvements are 12.07, 12.94 and 9.43 percent. The corresponding paired model-minus-reference bootstrap intervals are [-0.169426, -0.022469], [-0.172099, -0.034693] and [-0.123910, -0.020608]. Thus the model improves the aggregate metric against all three fixed baselines in this development evaluation, but the third improvement falls below the required ten percent. The recorded verdict is useful_win=False. This distinction matters: a favorable direction of error change does not satisfy a preregistered usefulness rule. The threshold is not lowered to rescue the result, and a close miss is not promoted to a win against a leading external tool.</w:t>
      </w:r>
    </w:p>
    <w:p>
      <w:pPr>
        <w:spacing w:after="120"/>
        <w:jc w:val="both"/>
      </w:pPr>
      <w:r>
        <w:t>Aggregate accuracy also hides target-specific weaknesses. Hexanoic acid has mean absolute log error 0.690508 under ridge, worse than persistence at 0.601259. A user should not infer that every metabolite benefits from the aggregate improvement. All eligible subjects are scored once, predictions are finite, and replacing held-out targets leaves their predictions unchanged. The mandatory replacement check refits the five folds for verification, giving ten small fits in total: five scoring fits and five verification fits. This exceeds the brief five-fit execution estimate but stays inside the frozen single-thread, 120-second evaluation limit; measured evaluation time is 0.287 seconds. No extra scientific variant or paid compute was used. These checks establish local execution properties, not true biological identity or generalization to a new laboratory.</w:t>
      </w:r>
    </w:p>
    <w:p>
      <w:pPr>
        <w:pStyle w:val="Heading1"/>
      </w:pPr>
      <w:r>
        <w:t>Source admission is part of the measurement, not a dataset count</w:t>
      </w:r>
    </w:p>
    <w:p>
      <w:pPr>
        <w:spacing w:after="120"/>
        <w:jc w:val="both"/>
      </w:pPr>
      <w:r>
        <w:t>Several apparently suitable antibiotic cohorts did not supply the full evidence needed for a comparable task. CEREMI has multiple publications and accessions from the same trial, not independent replication. Hagan has a well-defined antibiotic course and a primary deposit, but this bounded inventory inspection did not retrieve a taxonomic table with an exact phase, subject and collection-time join. Raymond has clear cefprozil dosing and untreated controls, yet its inspected supplements contain quality-control and statistical tables rather than an identified complete abundance matrix. Its final sample label denotes ninety days after treatment end, so treating that label as ninety days after first dose would alter the time axis. Zaura provides an important further warning: the primary study selected its shotgun pairs for the largest observed microbiome changes. Such a selected subset cannot be an unbiased multimodal validation sample merely because two assays exist.</w:t>
      </w:r>
    </w:p>
    <w:p>
      <w:pPr>
        <w:spacing w:after="120"/>
        <w:jc w:val="both"/>
      </w:pPr>
      <w:r>
        <w:t>Palleja illustrates why processed-data availability alone is insufficient. Its author archive is retrievable and its primary sample table has 57 specimens from twelve donors. An educational mirror has 57 abundance-table headers, but eight primary sample IDs carry an opt suffix absent from the mirror. The analysis does not strip the suffix and assert provenance. The earlier clinical report also describes stool collected before named visits and an additional antibiotic course in one participant. The bounded author archive contains more than one gigabyte of uncompressed tables and no README, license or sample-map member in its inspected inventory. The approved extraction stop was honored. This is not proof that the source is unusable forever; it is a precisely described admission gap. A later MISO diet deposit similarly uses an other-open label without explicit reuse terms in the inspected archive. Its seven-day homogeneous diet and measured outputs cannot be substituted for four-week yogurt/oat SCFA validation without a separate task contract.</w:t>
      </w:r>
    </w:p>
    <w:p>
      <w:pPr>
        <w:spacing w:after="120"/>
        <w:jc w:val="both"/>
      </w:pPr>
      <w:r>
        <w:t>The licensed SCFA route therefore adds a small, reproducible quantitative test and exposes a modest predictive signal, while leaving the larger scientific promises open. Its concentrations are now viewed development data, not an untouched holdout. The taxonomic GitHub tables stay metadata-only because the article license and metabolite-deposit license do not automatically establish their own reuse scope. Neither the source hunt nor the SCFA forecast closes independent top-tool benchmarking, causal perturbation validation, replicated keystone discovery, foundation-scale training or external calibration. The appropriate next scientific question is whether a locked transferable task works in an independently recruited, measurement-compatible and explicitly reusable cohort. If those requirements fail, the platform should abstain rather than accumulate nominal datasets or relabel a same-study result as discovery.</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23.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24.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25.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26.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27.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28.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29.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30.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31.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32.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33.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34.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35.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36.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37.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38.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39.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descriptive checks include the per-biome breakdown and the exploratory name-based assembly indication, not a validated assay classification; source-lineage audit and independent modality verification are necessary before a study-level meta-analysis. These limitations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the presence-conditional forecaster's advantage on UC should shrink or reverse. The all-timepoint test in Section 5.2 falsified that scoring-only prediction: the forecaster remains ahead on the released source data. This did not test a newly fitted explicit detection model.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published-point comparisons are not same-code reproductions; MDSINE2 Figure 3 per-timepoint forecasts are available and underlie the viewed window and two-part diagnostics, but do not supply a new independent source.</w:t>
      </w:r>
    </w:p>
    <w:p>
      <w:pPr>
        <w:pStyle w:val="Heading2"/>
      </w:pPr>
      <w:r>
        <w:t>7.1 Operational ambiguity witnesses: an invention candidate tested only in constructed systems</w:t>
      </w:r>
    </w:p>
    <w:p>
      <w:pPr>
        <w:spacing w:after="120"/>
        <w:jc w:val="both"/>
      </w:pPr>
      <w:r>
        <w:t>The expanded platform goal raises a question that cross-sectional assemblage prediction alone cannot answer: if several ecological mechanisms match an observed community, could they disagree about a species-removal outcome? Structural identifiability of microbial community models has been studied, including cases where parameters cannot be determined from relative-abundance measurements. Ensemble ecosystem modelling has also generated feasible and stable gLV parameter sets and forecast management interventions. These are important prior art, not work invented here. See https://pmc.ncbi.nlm.nih.gov/articles/PMC10135947/ and https://journals.plos.org/ploscompbiol/article?id=10.1371/journal.pcbi.1011976 . Our bounded prototype packages a pair of explicit models as an inspectable disagreement witness instead of averaging them into a deceptively precise point forecast. The witness format is an engineering candidate, not a literature-priority or new-algorithm claim.</w:t>
      </w:r>
    </w:p>
    <w:p>
      <w:pPr>
        <w:spacing w:after="120"/>
        <w:jc w:val="both"/>
      </w:pPr>
      <w:r>
        <w:t>The first analytically soluble construction uses three absolute-abundance species with observed positive equilibrium (1,1,1), diagonal interaction strengths -1, and only one variable off-diagonal effect c from species 3 to species 1. Intrinsic growth rates are (1-c,1,1), so all values of c in the declared interval reproduce the same baseline equilibrium. Permanent removal of species 3 gives a surviving two-species equilibrium (1-c,1); hence the contrast for species 1 is -c. Choosing c=-0.4 and +0.4 yields opposite signs while the original observed state is identical. This proves non-uniqueness within the specified synthetic family, not that two such systems describe any actual microbiome. The five interval tests were frozen before computation: one interval crossed zero and generated an explicit pair, while four one-sided or zero-bound cases abstained. The output includes rates, matrices, pre- and post-removal equilibrium residuals, and Jacobian eigenvalues; these are independently recalculated in tests.</w:t>
      </w:r>
    </w:p>
    <w:p>
      <w:pPr>
        <w:spacing w:after="120"/>
        <w:jc w:val="both"/>
      </w:pPr>
      <w:r>
        <w:t>The next checker accepts a finite list of user-supplied three-species gLV candidate matrices and growth rates, verifies the supplied positive baseline as an equilibrium, solves the positive survivor equilibrium, rejects singular or unstable models, and reports a positive/negative witness pair when both signs occur. Forty constructed two-candidate panels were generated from a fixed seed and simple diagonally dominant matrices, half deliberately sign-opposing and half deliberately one-sided. The checker returned witnesses for the 20 opposing pairs and abstained on the 20 one-sided pairs; three separately injected invalid models were rejected. A deliberately weak flag that treats any parameter difference as ambiguous fired on all 40 panels, but is not a published-method comparator. The perfect toy-panel count reflects construction, not predictive accuracy or real-world sensitivity. A missing witness in a finite submitted set does not prove a continuous class agrees.</w:t>
      </w:r>
    </w:p>
    <w:p>
      <w:pPr>
        <w:spacing w:after="120"/>
        <w:jc w:val="both"/>
      </w:pPr>
      <w:r>
        <w:t>A soundness correction matters even in the toy. A negative Jacobian eigenvalue at a candidate post-removal equilibrium only proves local stability. It does not prove that the actual survivor state immediately after removal belongs to its attraction basin. Thus the default checker calls its outputs stable-equilibrium contrasts, not realized intervention effects. An optional stricter mode checks that the symmetric part of the two-species survivor interaction matrix is negative definite. In an exact positive gLV with a positive survivor equilibrium, the standard weighted Volterra Lyapunov function has derivative equal to the survivor-state deviation transposed against that symmetric part and itself. Strict negativity supplies global convergence from any positive survivor starting point in that exact model. The optional mode retained all 20 constructed opposing witnesses and abstained on all 20 one-sided pairs; a locally stable example that fails this stronger sufficient condition is rejected in strict mode. Its rejection is not evidence that the trajectory truly diverges. The proof and test rule are in results/PREREG_20260928_lyapunov_reachability.md.</w:t>
      </w:r>
    </w:p>
    <w:p>
      <w:pPr>
        <w:spacing w:after="120"/>
        <w:jc w:val="both"/>
      </w:pPr>
      <w:r>
        <w:t>These prototypes do not choose a biologically admissible model set, measure absolute abundance for a patient, estimate growth or interaction parameters, cover alternative attractors outside the checked family, or validate a removal experiment. They cannot advise treatment, certify a keystone species, or demonstrate algorithmic priority over existing ensemble and identifiability methods. To make the tool scientifically useful, a future study would need independent parameter constraints, measured pre- and post-perturbation trajectories, source- and subject-disjoint testing, negative controls, and a matched comparison to established ensemble forecasts and robust identifiability tools. A good witness would then make an evidence gap visible; it would not by itself solve that gap. The existing predictive audit, the newly exact assay provenance, and the toy witness therefore occupy three different evidence levels and should not be added together as an external benchmark win or replicated discovery.</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40.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41.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p>
      <w:pPr>
        <w:spacing w:after="120"/>
        <w:jc w:val="both"/>
      </w:pPr>
      <w:r>
        <w:t>Thriene K, Stanislas V, et al. Impact of Yogurt and Rolled Oats Consumption on the Gut Microbiome: A Randomized Crossover Study Displaying Individual Responses and General Resilience. Journal of Nutrition 2026. https://pmc.ncbi.nlm.nih.gov/articles/PMC13084677/</w:t>
      </w:r>
    </w:p>
    <w:p>
      <w:pPr>
        <w:spacing w:after="120"/>
        <w:jc w:val="both"/>
      </w:pPr>
      <w:r>
        <w:t>SCFA data and analytical report, yogurt and rolled oats intervention. Zenodo record 15363886, CC BY 4.0. https://zenodo.org/records/15363886</w:t>
      </w:r>
    </w:p>
    <w:p>
      <w:pPr>
        <w:spacing w:after="120"/>
        <w:jc w:val="both"/>
      </w:pPr>
      <w:r>
        <w:t>Hagan T, et al. Antibiotics-driven gut microbiome perturbation alters immunity to vaccines in humans. Cell 2019. https://pmc.ncbi.nlm.nih.gov/articles/PMC6750738/</w:t>
      </w:r>
    </w:p>
    <w:p>
      <w:pPr>
        <w:spacing w:after="120"/>
        <w:jc w:val="both"/>
      </w:pPr>
      <w:r>
        <w:t>Palleja A, et al. Recovery of gut microbiota of healthy adults following antibiotic exposure. Nature Microbiology 2018. https://www.nature.com/articles/s41564-018-0257-9</w:t>
      </w:r>
    </w:p>
    <w:p>
      <w:pPr>
        <w:spacing w:after="120"/>
        <w:jc w:val="both"/>
      </w:pPr>
      <w:r>
        <w:t>Raymond F, et al. The initial state of the human gut microbiome determines its reshaping by antibiotics. ISME Journal 2016. https://pmc.ncbi.nlm.nih.gov/articles/PMC4817689/</w:t>
      </w:r>
    </w:p>
    <w:p>
      <w:pPr>
        <w:spacing w:after="120"/>
        <w:jc w:val="both"/>
      </w:pPr>
      <w:r>
        <w:t>Zaura E, et al. Same Exposure but Two Radically Different Responses to Antibiotics: Resilience of the Salivary Microbiome versus Long-Term Microbial Shifts in Feces. mBio 2015. https://pmc.ncbi.nlm.nih.gov/articles/PMC4659469/</w:t>
      </w:r>
    </w:p>
    <w:p>
      <w:pPr>
        <w:spacing w:after="120"/>
        <w:jc w:val="both"/>
      </w:pPr>
      <w:r>
        <w:t>Guthrie L, et al. Impact of a 7-day homogeneous diet on interpersonal variation in human gut microbiomes and metabolomes. Cell Host and Microbe 2022. https://www.cell.com/cell-host-microbe/fulltext/S1931-3128(22)00263-3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