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which archived sequencing runs the 2012 publication includes. Primary specimen mapping, family IDs, run-level library methods,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21.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22.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23.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24.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25.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26.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27.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28.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29.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30.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31.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32.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33.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34.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35.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36.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37.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38.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39.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