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the archived within-table procedure detects predictive interaction-model gains in 121 of 160 MGnify tables. Those tables have not been certified as independent external biological studies, and the gains do not identify causal interactions.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Conditional-loss target and its explanatory limit</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conditional-loss identity describes an appropriate target for the mean; it does not establish that detection-only scoring explains the observed model ranking. The later all-timepoint diagnostic falsified that scoring-only explanation. The identity is: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Original benchmark inputs appear in Table 1, with 160 archived MGnify tables listed in Appendix A. The former count of 169 items combines six cNODE matrices, two mouse cohorts, one derivative Source Data comparison and 160 MGnify records. It is an inventory count, not 169 independent primary biological datasets: the Source Data comparison derives from the mouse benchmark, and source-family independence remains unresolved for the archive. The later measured SCFA development deposit is described separately. Source data are public, while the local analysis performs the explicitly described normalization, filtering and aggregation. Secondary trait and literature reference tables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1"/>
      </w:pPr>
      <w:r>
        <w:t>Vocabulary restriction changes the prediction target</w:t>
      </w:r>
    </w:p>
    <w:p>
      <w:pPr>
        <w:spacing w:after="120"/>
        <w:jc w:val="both"/>
      </w:pPr>
      <w:r>
        <w:t>A fixed-vocabulary composition model cannot represent a community whose measured taxa extend beyond that vocabulary. The transfer-coverage routine measures how much of each submitted count column lies within the training names before any predictive error is calculated. It reports shared-name count, median retained mass and minimum retained mass. The pilot gate uses the minimum rather than the median so that high-coverage specimens do not hide an unsupported specimen. Its default minimum mass of 0.9 and minimum twenty shared genera are prospective planning thresholds, not biologically calibrated guarantees. They must be frozen in a task manifest and supported by the intended use. Passing them establishes only vocabulary eligibility, not prediction accuracy, compatible taxonomy, source independence or reuse rights.</w:t>
      </w:r>
    </w:p>
    <w:p>
      <w:pPr>
        <w:spacing w:after="120"/>
        <w:jc w:val="both"/>
      </w:pPr>
      <w:r>
        <w:t>Consider a hypothetical community with relative abundances A=0.4, B=0.1 and C=0.5, when a predictor knows only A and B. Restricting the observed composition to those known taxa and renormalizing yields A=0.8 and B=0.2. A predictor returning exactly that vector has zero error against the restricted target, yet extending it with C=0 gives a full-community Bray-Curtis error of 0.5 against the original observation. The calculation follows from half the sum of absolute differences between normalized vectors: (0.4+0.1+0.5)/2. Perfect restricted performance can therefore coexist with a large whole-community error. The restriction is not a harmless formatting step; it changes which abundance distribution the model claims to predict. This example is analytical and hypothetical, not a measured result from a new cohort.</w:t>
      </w:r>
    </w:p>
    <w:p>
      <w:pPr>
        <w:spacing w:after="120"/>
        <w:jc w:val="both"/>
      </w:pPr>
      <w:r>
        <w:t>The fixed names themselves are an incomplete measurement bridge. An identical genus string may arise from different taxonomic databases, marker regions, classifier versions and filtering rules. Conversely, different strings can refer to the same biological lineage. The count-mass check deliberately performs no synonym translation and cannot settle either case. A harmonization map must be supported by the source taxonomy and frozen before outcome comparisons; choosing translations because they improve a score would mix target construction with model selection. The archived EMP pilot and HMP input diagnostics remain viewed development evidence. A later correction informed by those diagnostics cannot turn them back into untouched tests, even if the correction is scientifically sensible.</w:t>
      </w:r>
    </w:p>
    <w:p>
      <w:pPr>
        <w:spacing w:after="120"/>
        <w:jc w:val="both"/>
      </w:pPr>
      <w:r>
        <w:t>Filtering unsupported queries also changes the evaluated population. A coverage rate calculated only among accepted rows describes those accepted rows, not all submitted samples. The denominator must therefore preserve candidate samples, excluded samples, scored samples and the exclusion rule. An abstaining system can be useful when it clearly states the range it covers, but it cannot report only its easiest cases and imply unrestricted availability. Thresholds, features and exclusion rules should be chosen without looking at the held-out predictive errors. Input-only filtering avoids one form of selection on error, yet it can still select a particular biological population. The result needs both the conditional performance and the coverage of the intended population.</w:t>
      </w:r>
    </w:p>
    <w:p>
      <w:pPr>
        <w:pStyle w:val="Heading1"/>
      </w:pPr>
      <w:r>
        <w:t>A comparison must preserve the question each tool answers</w:t>
      </w:r>
    </w:p>
    <w:p>
      <w:pPr>
        <w:spacing w:after="120"/>
        <w:jc w:val="both"/>
      </w:pPr>
      <w:r>
        <w:t>An external head-to-head needs more than the same error formula. Both tools must receive information permitted by the same task, produce outputs that answer that task, and be selected using training or validation evidence rather than the final test. A contemporaneous-assemblage predictor conditions on taxa already observed at the prediction occasion. A dynamical forecaster may receive an earlier abundance trajectory and an intervention schedule. Giving one method the later assemblage and the other only the earlier trajectory changes the information set. Such a comparison may be an informative diagnostic, but it is not automatically a fair test of future individualized response. Inputs, horizon, detection policy, available interventions and population must be part of the frozen comparator contract.</w:t>
      </w:r>
    </w:p>
    <w:p>
      <w:pPr>
        <w:spacing w:after="120"/>
        <w:jc w:val="both"/>
      </w:pPr>
      <w:r>
        <w:t>Predictive gain is similarly distinct from mechanistic identification. Correlated taxa can improve a forecast because they share an environment, reflect a common host state or carry redundant measurement information. A fitted interaction term can use that structure without identifying the effect of experimentally changing one taxon. Composition closure adds another distinction: changing the denominator can alter relative abundance even when an organism's absolute quantity stays fixed. A taxon-removal prediction therefore needs a defined intervention, an absolute or relative endpoint, and biological evidence about the response system. The constructed three-species ambiguity witnesses elsewhere in this paper expose one identification problem, but their mathematical existence is not a fitted causal model of a human participant.</w:t>
      </w:r>
    </w:p>
    <w:p>
      <w:pPr>
        <w:spacing w:after="120"/>
        <w:jc w:val="both"/>
      </w:pPr>
      <w:r>
        <w:t>A discovery claim adds requirements beyond forecast usefulness. The proposed biological statement must be distinguishable from prior work, its defining analysis and multiplicity rule must be fixed, and an independent source must reproduce the relevant observation under a compatible measurement contract. Agreement between two algorithms on one previously viewed table is robustness to an analysis choice, not independent biological replication. A source-admission pass likewise does not establish novelty. The result-declaration guard records independence, subject separation, measurement compatibility, rights, protocol timing, comparator eligibility, source-level evidence, multiplicity, prior-art distinction and replication as separate evidence requirements. Even complete submitted records reach manual evidence review, never automatic discovery certification.</w:t>
      </w:r>
    </w:p>
    <w:p>
      <w:pPr>
        <w:spacing w:after="120"/>
        <w:jc w:val="both"/>
      </w:pPr>
      <w:r>
        <w:t>These boundaries explain how the current results should be used. The population baseline supplies an executable reference, internal calibration exposes a limited uncertainty contract, source screens identify exactly where transfer cannot yet be tested, and the measured SCFA development forecast estimates a modest within-study predictive signal while missing its frozen usefulness rule. None can substitute for another. In particular, a good internal score cannot open a blocked source license, a compatible specimen map cannot establish a benchmark win, and a benchmark win would not by itself identify an antibiotic or dietary treatment effect. This section specifies the research questions that remain distinct; it introduces no new cohort scoring or scientific success count. Implementation anchors are src/microtwin/transfer_coverage.py, src/microtwin/coverage_gate.py and src/microtwin/outcome_guard.py, with the archived EMP pilot and HMP input diagnostics as scope records.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24.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25.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26.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27.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28.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29.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30.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31.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32.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33.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34.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35.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36.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37.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38.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39.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40.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Historical blind reproduction snapshot (2026-09-26, before subsequent manuscript expansion): fresh git clone of the repository into an empty directory, then a single command (python3 paper/build_paper.py) regenerated the paper end to end from the committed result files: 22 equations, 27 tables, 3 figures, matching that date's working-tree build, not the current expanded draft;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(public).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 https://pmc.ncbi.nlm.nih.gov/articles/PMC4817689/</w:t>
      </w:r>
    </w:p>
    <w:p>
      <w:pPr>
        <w:spacing w:after="120"/>
        <w:jc w:val="both"/>
      </w:pPr>
      <w:r>
        <w:t>Zaura E, et al. Same Exposure but Two Radically Different Responses to Antibiotics: Resilience of the Salivary Microbiome versus Long-Term Microbial Shifts in Feces. mBio 2015.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