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DRAFT: Interaction Models Lower Prediction Error in 121 of 160 MGnify Study Tables: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spacing w:after="120"/>
        <w:jc w:val="both"/>
      </w:pPr>
      <w:r>
        <w:t>The measured extension is a first-period forecast of eight stool SCFA concentrations from a CC BY 4.0 yogurt/oats deposit, evaluated within one study on 84 eligible held-out submitted subjects. A fixed ridge model has standardized log error 0.702517 versus persistence 0.798983, same-arm mean change 0.806896 and nearest-three donors 0.775684. Improvements are 12.07%, 12.94% and 9.43%; useful_win=False because the nearest-three gain misses the frozen 10% threshold. This is a development result, not independent replication, taxonomic twin validation, a causal diet effect or a leading-tool comparison. The local research workflow and admission gates are executable, but the hosted platform, external benchmark, calibrated reliability composite and replicated discovery remain unfinished. This document is a draft; its physical page count does not certify fifty substantive body pages.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 conditional-loss analysis plus diagnostics that falsify the proposed scoring-only explanation.</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proposed contribution is the auditing framework and its documented falsification discipline; literature priority is not established here. Neither a single model nor a benchmark re-run is presented as a new biological discovery.</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the archived within-table procedure detects predictive interaction-model gains in 121 of 160 MGnify tables. Those tables have not been certified as independent external biological studies, and the gains do not identify causal interactions.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Conditional-loss target and its explanatory limit</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conditional-loss identity describes an appropriate target for the mean; it does not establish that detection-only scoring explains the observed model ranking. The later all-timepoint diagnostic falsified that scoring-only explanation. The identity is: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Original benchmark inputs appear in Table 1, with 160 archived MGnify tables listed in Appendix A. The former count of 169 items combines six cNODE matrices, two mouse cohorts, one derivative Source Data comparison and 160 MGnify records. It is an inventory count, not 169 independent primary biological datasets: the Source Data comparison derives from the mouse benchmark, and source-family independence remains unresolved for the archive. The later measured SCFA development deposit is described separately. Source data are public, while the local analysis performs the explicitly described normalization, filtering and aggregation. Secondary trait and literature reference tables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whether the publication endpoint citation was misassigned; the direct ENA assay bridge below identifies the deposited 16S run family. Primary person and family mapping,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5.1.2e.2 Exact ENA assay bridge: what the identifier establishes</w:t>
      </w:r>
    </w:p>
    <w:p>
      <w:pPr>
        <w:spacing w:after="120"/>
        <w:jc w:val="both"/>
      </w:pPr>
      <w:r>
        <w:t>The earlier family diagnostic could not connect the MGnify archive to the original article's sequencing deposit from its abstract alone. A subsequent direct provider check crossed that narrower bridge without opening a new predictive outcome. ENA's ERP001500 study XML lists PRJEB3079 as its secondary project accession and qiime_study_850 as its submitted alias. The 2012 Gordon Lab source portal lists qiime:850 for its Illumina V4 16S deposit, separate from qiime:621 for fecal shotgun data. The identifier, rather than resemblance of titles, connects the archive's ENA study to that 16S deposit. This does not make every source annotation correct or supply an article-to-person linkage. ENA XML: https://www.ebi.ac.uk/ena/browser/api/xml/ERP001500 ; author portal: https://gordonlab.wustl.edu/supplemental-data/supplemental-data-portal/yatsunenko-et-al-2012/ .</w:t>
      </w:r>
    </w:p>
    <w:p>
      <w:pPr>
        <w:spacing w:after="120"/>
        <w:jc w:val="both"/>
      </w:pPr>
      <w:r>
        <w:t>We further compared actual run identifiers, not just study labels. ENA's current ERP001500 read-run report exposes 530 unique run accessions and 529 unique sample accessions. All 530 reported runs carry AMPLICON library strategy, PCR selection and ILLUMINA instrument platform. The original MGnify SSU table has 529 raw run-ID columns and the unchanged archived filtering retains 400. Every one of the 529 raw column IDs and all 400 retained IDs exactly appears in the ENA run set; one ENA run is not a source-table column. Thus the old columns, not merely an unrelated accession in the same BioProject, have source-supported Illumina amplicon provenance. A spot-check of one ENA experiment shows 16S V4, but V4 uniformity across all 400 retained runs has not been independently checked. Full aggregate report, URLs and hashes are frozen in results/PREREG_20260928_primary_assay_crosswalk.md. The historical assay is now better grounded than the earlier manuscript text says, while the biological-family field stays unknown.</w:t>
      </w:r>
    </w:p>
    <w:p>
      <w:pPr>
        <w:spacing w:after="120"/>
        <w:jc w:val="both"/>
      </w:pPr>
      <w:r>
        <w:t>An assay bridge and a biological-independence bridge answer different questions. The first says which read runs contributed to an abundance table and what ENA calls their sequencing strategy. The second asks whether rows represent unrelated people, a twin pair, a repeated sample, or a mirror of a published cohort. The ENA report's 529 distinct sample accessions cannot resolve those relationships. The study abstract describes 531 people and twins, but neither number should be forced onto the 400 retained run columns as a participant count. The MGnify linked-publications endpoint's 2021 citation also remains inconsistent with the matching 2012 study abstract; the exact ENA alias resolves the deposited study identity without silently resolving that bibliographic conflict. This table is already viewed, so even a later family map could not turn the diagnostic into an untouched final test. No Wilcoxon statistic or BH correction in the 160-study archive was recomputed here.</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1"/>
      </w:pPr>
      <w:r>
        <w:t>Measured extension: first-period stool-metabolite forecasting</w:t>
      </w:r>
    </w:p>
    <w:p>
      <w:pPr>
        <w:spacing w:after="120"/>
        <w:jc w:val="both"/>
      </w:pPr>
      <w:r>
        <w:t>A personalized research platform needs a task with measurable targets, known sample units and an honest boundary around what its model predicts. The next measured extension therefore uses targeted stool short-chain fatty acid (SCFA) concentrations rather than borrowing an unverified taxonomic table or treating predicted gene functions as observed biology. The public 2026 yogurt and rolled-oats crossover study supplies an explicitly CC BY 4.0 metabolite deposit, Zenodo record 15363886. Its eight analytes are 2-methylbutyric acid, acetic acid, butyric acid, hexanoic acid, isobutyric acid, isovaleric acid, propionic acid and valeric acid, measured in micrograms per gram of stool. This is a different measurement contract from relative microbial abundance: concentrations are not normalized to sum to one, and predicting them does not certify taxonomic composition, causal ecological interactions or clinical benefit.</w:t>
      </w:r>
    </w:p>
    <w:p>
      <w:pPr>
        <w:spacing w:after="120"/>
        <w:jc w:val="both"/>
      </w:pPr>
      <w:r>
        <w:t>The original trial randomized 119 adults; 110 completed all four phases. Each participant consumed 250 grams of yogurt daily in one four-week intervention and the same yogurt plus 50 grams of rolled oats daily in another. Treatment order was randomized, with four-week washout phases. The deposit contains 462 samples, of which 440 are main samples and 22 are quality-control duplicates. All main samples form unique submitted subject-time coordinates across four phases. The analysis deliberately uses only the first baseline and first post-intervention sample. It does not learn from the second intervention, pool repeated periods as independent people or assume that washout eliminated carryover. Group A receives yogurt first and group B receives yogurt plus oats first. The model sees that intervention label, but the task remains a forecast in observed treated participants, not an estimate of what the same person would have experienced without treatment.</w:t>
      </w:r>
    </w:p>
    <w:p>
      <w:pPr>
        <w:spacing w:after="120"/>
        <w:jc w:val="both"/>
      </w:pPr>
      <w:r>
        <w:t>Metadata inspection preceded any concentration scoring. This order found an important difference between nominal phase labels and actual collection dates. First-period intervals range from 24 to 138 days in the deposited metadata, while later washout intervals include two nonpositive values and some date endpoints do not parse. These entries were not silently repaired. The frozen first-period task retains only baseline-to-follow-up intervals of 21 through 35 days, inclusive. This bounds collection separation without pretending that dietary start, adherence or exact exposure duration were measured by the sample label. The result cannot support a continuous-time kinetic model or a clinical scheduling recommendation. Public scripts elsewhere in the author repository include illustrative participant clinical records; those records are neither model features nor public outputs of this analysis.</w:t>
      </w:r>
    </w:p>
    <w:p>
      <w:pPr>
        <w:spacing w:after="120"/>
        <w:jc w:val="both"/>
      </w:pPr>
      <w:r>
        <w:t>The concentration workbook has 3,696 unique sample-analyte records, exactly eight for each of its 462 sample labels, and those labels match the metabolite metadata. Units and material are uniform. The local reproduction script verifies the original workbook MD5 and metadata SHA-256 before processing. Primary assay eligibility is strict: all baseline and target cells must be finite nonnegative numbers, within their stated lower and upper quantitation limits, and free of nonempty analysis comments. The laboratory report says that values outside calibration range may be extrapolated and flagged BLOQ or ALOQ. The analysis does not convert those flags to zero, remove an inconvenient metabolite, or impute a favorable response. Complete-case filtering leaves 84 subjects, 42 in each treatment-order group. Twenty-five subjects fail the assay rule and one fails the collection interval. This restriction is material: the estimates apply to quantifiable complete cases, not all randomized participants or all low-concentration specimens.</w:t>
      </w:r>
    </w:p>
    <w:p>
      <w:pPr>
        <w:spacing w:after="120"/>
        <w:jc w:val="both"/>
      </w:pPr>
      <w:r>
        <w:t>A frozen five-fold subject split holds out entire submitted people. Within each arm, sorted subject labels are shuffled with a fixed random seed and assigned cyclically to folds. Log1p baseline concentrations are standardized using training-fold statistics. A ridge model with fixed alpha 10 predicts change in log concentration from eight baseline features, the assigned first intervention, and eight baseline-by-intervention products. Predicted target log concentrations are clipped only below zero; there is no compositional projection. No hyperparameter search, effect-based feature selection or alternate model variant follows the score. The comparators are persistence, training-only same-arm mean log change, and the mean change of the three nearest same-arm baseline donors. Neighbors are selected in training-standardized baseline space. This is a demanding practical comparison because a personalized predictor must add value over carrying the last measurement forward or borrowing an observed donor response.</w:t>
      </w:r>
    </w:p>
    <w:p>
      <w:pPr>
        <w:spacing w:after="120"/>
        <w:jc w:val="both"/>
      </w:pPr>
      <w:r>
        <w:t>The primary error averages absolute log concentration errors across analytes after scaling by each target-log training-fold standard deviation, then averages over held-out subjects. Scaling prevents a large natural range in one analyte from dominating every other target; it does not create a universal reliability score. Secondary results retain unscaled log errors and per-analyte errors. The useful-win rule was frozen before outcome inspection: at least ten percent lower primary error than each comparator, with a negative upper bound on each paired subject-bootstrap interval. The bootstrap uses 2,000 subject resamples and is descriptive within this study. It does not establish independent-source replication, correct for all previous development choices or supply calibrated patient-level prediction intervals.</w:t>
      </w:r>
    </w:p>
    <w:p>
      <w:pPr>
        <w:keepNext/>
      </w:pPr>
      <w:r>
        <w:rPr>
          <w:b/>
        </w:rPr>
        <w:t>Table 22. First-period SCFA held-subject development forecasts, 84 complete-case subjects; smaller error is better.</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Forecast</w:t>
            </w:r>
          </w:p>
        </w:tc>
        <w:tc>
          <w:tcPr>
            <w:tcW w:type="dxa" w:w="2880"/>
            <w:vAlign w:val="center"/>
          </w:tcPr>
          <w:p>
            <w:pPr>
              <w:jc w:val="left"/>
            </w:pPr>
            <w:r>
              <w:rPr>
                <w:rFonts w:ascii="Times New Roman" w:hAnsi="Times New Roman"/>
                <w:sz w:val="18"/>
              </w:rPr>
              <w:t>Standardized log error</w:t>
            </w:r>
          </w:p>
        </w:tc>
        <w:tc>
          <w:tcPr>
            <w:tcW w:type="dxa" w:w="2880"/>
            <w:vAlign w:val="center"/>
          </w:tcPr>
          <w:p>
            <w:pPr>
              <w:jc w:val="left"/>
            </w:pPr>
            <w:r>
              <w:rPr>
                <w:rFonts w:ascii="Times New Roman" w:hAnsi="Times New Roman"/>
                <w:sz w:val="18"/>
              </w:rPr>
              <w:t>Unscaled log error</w:t>
            </w:r>
          </w:p>
        </w:tc>
      </w:tr>
      <w:tr>
        <w:tc>
          <w:tcPr>
            <w:tcW w:type="dxa" w:w="2880"/>
            <w:vAlign w:val="center"/>
          </w:tcPr>
          <w:p>
            <w:pPr>
              <w:jc w:val="left"/>
            </w:pPr>
            <w:r>
              <w:rPr>
                <w:rFonts w:ascii="Times New Roman" w:hAnsi="Times New Roman"/>
                <w:sz w:val="18"/>
              </w:rPr>
              <w:t>ridge</w:t>
            </w:r>
          </w:p>
        </w:tc>
        <w:tc>
          <w:tcPr>
            <w:tcW w:type="dxa" w:w="2880"/>
            <w:vAlign w:val="center"/>
          </w:tcPr>
          <w:p>
            <w:pPr>
              <w:jc w:val="left"/>
            </w:pPr>
            <w:r>
              <w:rPr>
                <w:rFonts w:ascii="Times New Roman" w:hAnsi="Times New Roman"/>
                <w:sz w:val="18"/>
              </w:rPr>
              <w:t>0.703</w:t>
            </w:r>
          </w:p>
        </w:tc>
        <w:tc>
          <w:tcPr>
            <w:tcW w:type="dxa" w:w="2880"/>
            <w:vAlign w:val="center"/>
          </w:tcPr>
          <w:p>
            <w:pPr>
              <w:jc w:val="left"/>
            </w:pPr>
            <w:r>
              <w:rPr>
                <w:rFonts w:ascii="Times New Roman" w:hAnsi="Times New Roman"/>
                <w:sz w:val="18"/>
              </w:rPr>
              <w:t>0.447</w:t>
            </w:r>
          </w:p>
        </w:tc>
      </w:tr>
      <w:tr>
        <w:tc>
          <w:tcPr>
            <w:tcW w:type="dxa" w:w="2880"/>
            <w:vAlign w:val="center"/>
          </w:tcPr>
          <w:p>
            <w:pPr>
              <w:jc w:val="left"/>
            </w:pPr>
            <w:r>
              <w:rPr>
                <w:rFonts w:ascii="Times New Roman" w:hAnsi="Times New Roman"/>
                <w:sz w:val="18"/>
              </w:rPr>
              <w:t>persistence</w:t>
            </w:r>
          </w:p>
        </w:tc>
        <w:tc>
          <w:tcPr>
            <w:tcW w:type="dxa" w:w="2880"/>
            <w:vAlign w:val="center"/>
          </w:tcPr>
          <w:p>
            <w:pPr>
              <w:jc w:val="left"/>
            </w:pPr>
            <w:r>
              <w:rPr>
                <w:rFonts w:ascii="Times New Roman" w:hAnsi="Times New Roman"/>
                <w:sz w:val="18"/>
              </w:rPr>
              <w:t>0.799</w:t>
            </w:r>
          </w:p>
        </w:tc>
        <w:tc>
          <w:tcPr>
            <w:tcW w:type="dxa" w:w="2880"/>
            <w:vAlign w:val="center"/>
          </w:tcPr>
          <w:p>
            <w:pPr>
              <w:jc w:val="left"/>
            </w:pPr>
            <w:r>
              <w:rPr>
                <w:rFonts w:ascii="Times New Roman" w:hAnsi="Times New Roman"/>
                <w:sz w:val="18"/>
              </w:rPr>
              <w:t>0.495</w:t>
            </w:r>
          </w:p>
        </w:tc>
      </w:tr>
      <w:tr>
        <w:tc>
          <w:tcPr>
            <w:tcW w:type="dxa" w:w="2880"/>
            <w:vAlign w:val="center"/>
          </w:tcPr>
          <w:p>
            <w:pPr>
              <w:jc w:val="left"/>
            </w:pPr>
            <w:r>
              <w:rPr>
                <w:rFonts w:ascii="Times New Roman" w:hAnsi="Times New Roman"/>
                <w:sz w:val="18"/>
              </w:rPr>
              <w:t>arm_mean</w:t>
            </w:r>
          </w:p>
        </w:tc>
        <w:tc>
          <w:tcPr>
            <w:tcW w:type="dxa" w:w="2880"/>
            <w:vAlign w:val="center"/>
          </w:tcPr>
          <w:p>
            <w:pPr>
              <w:jc w:val="left"/>
            </w:pPr>
            <w:r>
              <w:rPr>
                <w:rFonts w:ascii="Times New Roman" w:hAnsi="Times New Roman"/>
                <w:sz w:val="18"/>
              </w:rPr>
              <w:t>0.807</w:t>
            </w:r>
          </w:p>
        </w:tc>
        <w:tc>
          <w:tcPr>
            <w:tcW w:type="dxa" w:w="2880"/>
            <w:vAlign w:val="center"/>
          </w:tcPr>
          <w:p>
            <w:pPr>
              <w:jc w:val="left"/>
            </w:pPr>
            <w:r>
              <w:rPr>
                <w:rFonts w:ascii="Times New Roman" w:hAnsi="Times New Roman"/>
                <w:sz w:val="18"/>
              </w:rPr>
              <w:t>0.502</w:t>
            </w:r>
          </w:p>
        </w:tc>
      </w:tr>
      <w:tr>
        <w:tc>
          <w:tcPr>
            <w:tcW w:type="dxa" w:w="2880"/>
            <w:vAlign w:val="center"/>
          </w:tcPr>
          <w:p>
            <w:pPr>
              <w:jc w:val="left"/>
            </w:pPr>
            <w:r>
              <w:rPr>
                <w:rFonts w:ascii="Times New Roman" w:hAnsi="Times New Roman"/>
                <w:sz w:val="18"/>
              </w:rPr>
              <w:t>nearest_three</w:t>
            </w:r>
          </w:p>
        </w:tc>
        <w:tc>
          <w:tcPr>
            <w:tcW w:type="dxa" w:w="2880"/>
            <w:vAlign w:val="center"/>
          </w:tcPr>
          <w:p>
            <w:pPr>
              <w:jc w:val="left"/>
            </w:pPr>
            <w:r>
              <w:rPr>
                <w:rFonts w:ascii="Times New Roman" w:hAnsi="Times New Roman"/>
                <w:sz w:val="18"/>
              </w:rPr>
              <w:t>0.776</w:t>
            </w:r>
          </w:p>
        </w:tc>
        <w:tc>
          <w:tcPr>
            <w:tcW w:type="dxa" w:w="2880"/>
            <w:vAlign w:val="center"/>
          </w:tcPr>
          <w:p>
            <w:pPr>
              <w:jc w:val="left"/>
            </w:pPr>
            <w:r>
              <w:rPr>
                <w:rFonts w:ascii="Times New Roman" w:hAnsi="Times New Roman"/>
                <w:sz w:val="18"/>
              </w:rPr>
              <w:t>0.497</w:t>
            </w:r>
          </w:p>
        </w:tc>
      </w:tr>
    </w:tbl>
    <w:p>
      <w:pPr>
        <w:spacing w:after="120"/>
        <w:jc w:val="both"/>
      </w:pPr>
      <w:r>
        <w:t>The fixed ridge forecast has primary mean error 0.702517, compared with 0.798983 for persistence, 0.806896 for same-arm mean change and 0.775684 for nearest-three donors. Relative improvements are 12.07, 12.94 and 9.43 percent. The corresponding paired model-minus-reference bootstrap intervals are [-0.169426, -0.022469], [-0.172099, -0.034693] and [-0.123910, -0.020608]. Thus the model improves the aggregate metric against all three fixed baselines in this development evaluation, but the third improvement falls below the required ten percent. The recorded verdict is useful_win=False. This distinction matters: a favorable direction of error change does not satisfy a preregistered usefulness rule. The threshold is not lowered to rescue the result, and a close miss is not promoted to a win against a leading external tool.</w:t>
      </w:r>
    </w:p>
    <w:p>
      <w:pPr>
        <w:spacing w:after="120"/>
        <w:jc w:val="both"/>
      </w:pPr>
      <w:r>
        <w:t>Aggregate accuracy also hides target-specific weaknesses. Hexanoic acid has mean absolute log error 0.690508 under ridge, worse than persistence at 0.601259. A user should not infer that every metabolite benefits from the aggregate improvement. All eligible subjects are scored once, predictions are finite, and replacing held-out targets leaves their predictions unchanged. The mandatory replacement check refits the five folds for verification, giving ten small fits in total: five scoring fits and five verification fits. This exceeds the brief five-fit execution estimate but stays inside the frozen single-thread, 120-second evaluation limit; measured evaluation time is 0.287 seconds. No extra scientific variant or paid compute was used. These checks establish local execution properties, not true biological identity or generalization to a new laboratory.</w:t>
      </w:r>
    </w:p>
    <w:p>
      <w:pPr>
        <w:pStyle w:val="Heading1"/>
      </w:pPr>
      <w:r>
        <w:t>Source admission is part of the measurement, not a dataset count</w:t>
      </w:r>
    </w:p>
    <w:p>
      <w:pPr>
        <w:spacing w:after="120"/>
        <w:jc w:val="both"/>
      </w:pPr>
      <w:r>
        <w:t>Several apparently suitable antibiotic cohorts did not supply the full evidence needed for a comparable task. CEREMI has multiple publications and accessions from the same trial, not independent replication. Hagan has a well-defined antibiotic course and a primary deposit, but this bounded inventory inspection did not retrieve a taxonomic table with an exact phase, subject and collection-time join. Raymond has clear cefprozil dosing and untreated controls, yet its inspected supplements contain quality-control and statistical tables rather than an identified complete abundance matrix. Its final sample label denotes ninety days after treatment end, so treating that label as ninety days after first dose would alter the time axis. Zaura provides an important further warning: the primary study selected its shotgun pairs for the largest observed microbiome changes. Such a selected subset cannot be an unbiased multimodal validation sample merely because two assays exist.</w:t>
      </w:r>
    </w:p>
    <w:p>
      <w:pPr>
        <w:spacing w:after="120"/>
        <w:jc w:val="both"/>
      </w:pPr>
      <w:r>
        <w:t>Palleja illustrates why processed-data availability alone is insufficient. Its author archive is retrievable and its primary sample table has 57 specimens from twelve donors. An educational mirror has 57 abundance-table headers, but eight primary sample IDs carry an opt suffix absent from the mirror. The analysis does not strip the suffix and assert provenance. The earlier clinical report also describes stool collected before named visits and an additional antibiotic course in one participant. The bounded author archive contains more than one gigabyte of uncompressed tables and no README, license or sample-map member in its inspected inventory. The approved extraction stop was honored. This is not proof that the source is unusable forever; it is a precisely described admission gap. A later MISO diet deposit similarly uses an other-open label without explicit reuse terms in the inspected archive. Its seven-day homogeneous diet and measured outputs cannot be substituted for four-week yogurt/oat SCFA validation without a separate task contract.</w:t>
      </w:r>
    </w:p>
    <w:p>
      <w:pPr>
        <w:spacing w:after="120"/>
        <w:jc w:val="both"/>
      </w:pPr>
      <w:r>
        <w:t>The licensed SCFA route therefore adds a small, reproducible quantitative test and exposes a modest predictive signal, while leaving the larger scientific promises open. Its concentrations are now viewed development data, not an untouched holdout. The taxonomic GitHub tables stay metadata-only because the article license and metabolite-deposit license do not automatically establish their own reuse scope. Neither the source hunt nor the SCFA forecast closes independent top-tool benchmarking, causal perturbation validation, replicated keystone discovery, foundation-scale training or external calibration. The appropriate next scientific question is whether a locked transferable task works in an independently recruited, measurement-compatible and explicitly reusable cohort. If those requirements fail, the platform should abstain rather than accumulate nominal datasets or relabel a same-study result as discovery.</w:t>
      </w:r>
    </w:p>
    <w:p>
      <w:pPr>
        <w:pStyle w:val="Heading1"/>
      </w:pPr>
      <w:r>
        <w:t>Operational contract for a local research run</w:t>
      </w:r>
    </w:p>
    <w:p>
      <w:pPr>
        <w:spacing w:after="120"/>
        <w:jc w:val="both"/>
      </w:pPr>
      <w:r>
        <w:t>The current platform is a set of local research programs, not a hosted patient service. Its practical contribution is to make a limited prediction reproducible while keeping questions that it cannot answer separate. A researcher first decides whether the target is composition conditional on an observed assemblage, a future measured metabolite, or a response to an intervention. These targets need different input and validation contracts. A species-removal screen changes the assemblage supplied to a composition predictor, but does not thereby identify the composition that would occur after removing that organism in a person. A model can calculate a number for the changed input even when the biological contrast is unidentified. The workflow must stop that numerical operation from becoming an unsupported treatment recommendation.</w:t>
      </w:r>
    </w:p>
    <w:p>
      <w:pPr>
        <w:spacing w:after="120"/>
        <w:jc w:val="both"/>
      </w:pPr>
      <w:r>
        <w:t>For the implemented composition baseline, each labeled training row represents a submitted sample and each column a taxon. Counts are normalized within each row before the population mean is computed, so a deeply sequenced sample does not receive more weight merely because it has more reads. The query supplies binary presence indicators, not its unknown outcome abundances. The prediction masks the population mean to the taxa present in the query and renormalizes their weights. A small smoothing term is applied only after the unseen-present-taxon check. Consequently, smoothing cannot manufacture evidence for an organism absent from all training samples. This rule is intentionally simple. Its behavior is inspectable, but its simplicity is not proof that it is the best predictor or that a population average captures a particular person.</w:t>
      </w:r>
    </w:p>
    <w:p>
      <w:pPr>
        <w:spacing w:after="120"/>
        <w:jc w:val="both"/>
      </w:pPr>
      <w:r>
        <w:t>The table contract is strict at the local file boundary. CSV or TSV files are limited to fifty million bytes each. The first column must be sample_id, remaining column names must be unique and nonempty, and every numeric entry must be finite. Training counts must be integers; submitted relative abundances must sum to one within the implemented tolerance. Query taxa must match both training names and column order exactly, query identifiers must not overlap training identifiers, and every query must contain at least one present taxon. A present taxon with zero empirical training abundance leads to abstention. These restrictions reduce silent numerical errors and accidental leakage. They do not detect every renamed duplicate, identify a laboratory method, establish a biological taxon equivalence, or recover an omitted organism.</w:t>
      </w:r>
    </w:p>
    <w:p>
      <w:pPr>
        <w:spacing w:after="120"/>
        <w:jc w:val="both"/>
      </w:pPr>
      <w:r>
        <w:t>The strict prediction route adds a measurement contract before writing an output. The contract supplies source family, specimen material, assay, taxonomy version, processing pipeline and unit for training and query. Declared measurement fields must match, the source family must match the requested source label, and cross-source prediction abstains because an independently validated bridge is not implemented. Matching declarations establish consistency between submitted labels, not their truth. The researcher must retain the source documents behind the declarations. A copied assay name or a shared genus label cannot turn a V4 amplicon table into a shotgun table, make saliva interchangeable with feces, or establish that two processing pipelines have equivalent detection limits.</w:t>
      </w:r>
    </w:p>
    <w:p>
      <w:pPr>
        <w:spacing w:after="120"/>
        <w:jc w:val="both"/>
      </w:pPr>
      <w:r>
        <w:t>Subject maps address a second boundary that sample identifiers alone cannot protect. The checked route can require exact sample-to-submitted-subject maps for training and query, with one mapping for every sample. Overlap between submitted subjects then fails even if their sample names differ. When the query map is absent, the report explicitly leaves query-subject separation unverified. This distinction matters in longitudinal studies, where many valid sample rows can come from one person. Renaming that person across files still defeats an exact-label check. Source recruitment records, family relationships and specimen provenance therefore remain part of the scientific admission process, rather than claims supplied by a successful software return code.</w:t>
      </w:r>
    </w:p>
    <w:p>
      <w:pPr>
        <w:pStyle w:val="Heading1"/>
      </w:pPr>
      <w:r>
        <w:t>Calibration, integrity and the meaning of an abstention</w:t>
      </w:r>
    </w:p>
    <w:p>
      <w:pPr>
        <w:spacing w:after="120"/>
        <w:jc w:val="both"/>
      </w:pPr>
      <w:r>
        <w:t>A calibrated local run adds a separate labeled calibration table after the predictor has been defined from training data. The reported Bray-Curtis radius uses the finite-sample rank ceiling of (n_cal+1)(1-alpha). If that rank exceeds the available calibration count, the radius is the maximum distance, one. That output is valid as an explicit lack of useful precision, not a reason to reduce the nominal coverage target after seeing the result. The radius concerns marginal error under exchangeability of calibration and future queries. It is not a conditional interval for a named individual, a probability of clinical harm, or a guarantee for a new intervention or laboratory. The observed same-dataset coverage diagnostics earlier in this paper must be read with their precise candidate, excluded and scored denominators.</w:t>
      </w:r>
    </w:p>
    <w:p>
      <w:pPr>
        <w:spacing w:after="120"/>
        <w:jc w:val="both"/>
      </w:pPr>
      <w:r>
        <w:t>The reliability ledger preserves five separate evidence components: prediction accuracy, predictive interaction dependence, uncertainty calibration, transferability and robustness. Even when a caller supplies all five numbers, the implementation does not average them into a score. It records them as reported but unvalidated and leaves the composite index unavailable. This is a deliberate separation between an engineering interface and a scientific result. A high number for one component cannot replace missing transfer evidence, and arbitrary weights would hide a decision that has never been calibrated on independent sources. The correct output for the present platform is the evidence vector and its missing fields, not a patient-facing percentage of trust.</w:t>
      </w:r>
    </w:p>
    <w:p>
      <w:pPr>
        <w:spacing w:after="120"/>
        <w:jc w:val="both"/>
      </w:pPr>
      <w:r>
        <w:t>A checked composition run can write an integrity receipt alongside its new prediction CSV. The receipt binds hashes and byte counts of the training file, query, measurement contract, prediction and any included subject maps. Input hashes are rechecked during the run to detect changes between inspection and prediction. Existing output and receipt paths are refused. If receipt creation fails after prediction creation, the implementation removes that new prediction output rather than leave an apparently complete paired deliverable. This is local failure handling, not a transaction guarantee across machines, a cryptographic signature, or authentication of the researcher. Replacing both an artifact and its receipt can defeat a plain hash comparison. The receipt also does not embed the input tables, although its run report may contain local paths and source labels and should be treated as private working material.</w:t>
      </w:r>
    </w:p>
    <w:p>
      <w:pPr>
        <w:spacing w:after="120"/>
        <w:jc w:val="both"/>
      </w:pPr>
      <w:r>
        <w:t>The workflow therefore separates refusal reasons from scientific negatives. A malformed query is an input failure; a missing source bridge is an admission failure; a vacuous calibration radius is an uncertainty limitation; and a frozen model that misses its usefulness threshold is a measured negative. None should be erased by trying nearby settings until a favorable status appears. The researcher records the original reason, checks whether the task itself was correctly defined, and changes the protocol only prospectively. When an intervention target remains unidentified, collecting suitable longitudinal or perturbation evidence is a different action from rerunning a composition baseline. This separation is the operational form of the paper's scientific gates: executable arithmetic is useful, but its authority ends at the measurement and validation contract it actually satisfies.</w:t>
      </w:r>
    </w:p>
    <w:p>
      <w:pPr>
        <w:spacing w:after="120"/>
        <w:jc w:val="both"/>
      </w:pPr>
      <w:r>
        <w:t>Implementation anchors are src/microtwin/local_predict.py, src/microtwin/cli.py, src/microtwin/local_calibrated_predict.py, src/microtwin/reliability.py and src/microtwin/run_bundle.py. These anchors describe the current local research workflow, not a deployed access-controlled service. Assay declarations, caller authorization flags and submitted pseudonyms still require source-grounded verification outside the numerical routine. This operational section adds no benchmark outcome and does not close external prediction, calibrated composite reliability, biological intervention validation or replicated discovery.</w:t>
      </w:r>
    </w:p>
    <w:p>
      <w:pPr>
        <w:pStyle w:val="Heading1"/>
      </w:pPr>
      <w:r>
        <w:t>Measurement hierarchy and the unit of a forecast</w:t>
      </w:r>
    </w:p>
    <w:p>
      <w:pPr>
        <w:spacing w:after="120"/>
        <w:jc w:val="both"/>
      </w:pPr>
      <w:r>
        <w:t>A microbiome dataset has several nested units that must remain distinct: an analytical run, a biological specimen, a collection occasion, a participant, and a recruited source family. A matrix column is not automatically the unit of inference. Two sequencing runs can measure one specimen; two aliquots can share one collection; several stools can belong to one person; and two deposited studies can reuse one recruitment. The platform treats the reconstruction of this hierarchy as part of defining the task, before fitting or splitting. A method intended to generalize to a new person must hold that person out, whereas a method intended to transfer to a new recruitment or laboratory needs a source-level boundary. More rows improve measurement of the units already sampled but do not automatically add independent biological replication.</w:t>
      </w:r>
    </w:p>
    <w:p>
      <w:pPr>
        <w:spacing w:after="120"/>
        <w:jc w:val="both"/>
      </w:pPr>
      <w:r>
        <w:t>Compatible raw sequencing runs of one specimen can be summed before composition normalization. The implemented run-collapse routine checks the supplied run-to-sample relationships, requires all run columns to be explained, refuses a run assigned to multiple samples, and excludes identified assembly columns. It also rejects an identifier that is simultaneously a run and an assembly. These checks prevent a pooled assembly from being counted again as an independent measurement beside the reads that generated it. Compatibility of the assays, pipelines and raw count interpretation remains a source requirement. The routine does not verify that requirement and must not be used to sum unrelated abundance units merely because their columns share names.</w:t>
      </w:r>
    </w:p>
    <w:p>
      <w:pPr>
        <w:spacing w:after="120"/>
        <w:jc w:val="both"/>
      </w:pPr>
      <w:r>
        <w:t>A numerical example shows why the order of aggregation matters. Suppose two compatible runs from one hypothetical specimen have counts (90,10) and (1,9) for taxa A and B. Pooling raw counts gives (91,19), with relative abundance of A equal to 91/110, approximately 0.8273. Averaging the two separately normalized runs instead gives A a weight of (0.9+0.1)/2, or 0.5. The second calculation weights the ten-read run equally with the hundred-read run. Neither arithmetic rule can be selected by which later gives a better model score: the source measurement contract determines whether compatible raw reads are being pooled or two genuinely separate measurements are being averaged. These are hypothetical counts, not a new empirical result.</w:t>
      </w:r>
    </w:p>
    <w:p>
      <w:pPr>
        <w:spacing w:after="120"/>
        <w:jc w:val="both"/>
      </w:pPr>
      <w:r>
        <w:t>Technical concentration replicates require a different decision. Repeated injections from one extract measure analytical variation, not repeated biological exposure. Summing their concentrations would usually change the unit and cannot borrow the raw-read pooling rule. A prospectively specified summary, duplicate-quality criterion and quantitation treatment are needed before learning from such measurements. Distinct stools from the same day are also not automatically technical replicates: they can be separate specimens with real within-day variation. The source must identify which level was repeated. The SCFA development task in this paper excludes labeled quality-control duplicates rather than treating them as additional people. The independent high-fiber lead illustrates the separate need to distinguish analytical samples from its participant denominator; it has not supplied an admitted quantitative task here.</w:t>
      </w:r>
    </w:p>
    <w:p>
      <w:pPr>
        <w:spacing w:after="120"/>
        <w:jc w:val="both"/>
      </w:pPr>
      <w:r>
        <w:t>Repeated collection times remain valuable after this distinction. They can estimate a within-person trajectory, expose transient changes, and support a baseline-to-follow-up endpoint. They should not be shuffled across training and test as if they were unrelated people when the target is a new participant. A participant with densely collected stools also should not dominate a population endpoint merely through a larger row count unless that row-weighted target was deliberately chosen. One defensible design scores a fixed participant-level summary and then weights participants equally. Another targets a randomly chosen collection occasion and weights occasions. These answer different questions. A paper must state which population its average describes instead of allowing file layout to choose the estimand.</w:t>
      </w:r>
    </w:p>
    <w:p>
      <w:pPr>
        <w:pStyle w:val="Heading1"/>
      </w:pPr>
      <w:r>
        <w:t>Exposure windows, source boundaries and paired comparisons</w:t>
      </w:r>
    </w:p>
    <w:p>
      <w:pPr>
        <w:spacing w:after="120"/>
        <w:jc w:val="both"/>
      </w:pPr>
      <w:r>
        <w:t>Time labels need the same discipline. A visit label, a collection date, a day since the first dose and a day since the last dose are different coordinates. The local course-design screen takes explicit numerical start and end times, requires a strictly earlier baseline and strictly later follow-up, and selects the nearest eligible samples around the course. Nonnegative timing margins can be added prospectively. A specimen exactly at the start or end does not qualify under those strict inequalities. The routine refuses duplicate submitted source-subject-time coordinates so that technical-replicate resolution is not hidden inside a pairing rule. It never reads outcomes, estimates an antibiotic response, or establishes that the supplied treatment dates are correct.</w:t>
      </w:r>
    </w:p>
    <w:p>
      <w:pPr>
        <w:spacing w:after="120"/>
        <w:jc w:val="both"/>
      </w:pPr>
      <w:r>
        <w:t>The screen also checks whether another submitted course overlaps the selected baseline-to-follow-up window. If another course falls between those observations, the default rule blocks attribution to a single isolated exposure. This is a design check rather than an adjustment model: recording an overlap does not estimate its effect or remove confounding. Unknown courses, adherence, concurrent medication, illness and dietary changes can still matter even when the submitted window passes. A nominal recovery phase cannot replace a verified treatment timeline. The Raymond distinction between ninety days after treatment end and ninety days after first dose, and the Palleja collection-versus-visit and extra-course findings, are concrete source-admission reasons to preserve the original temporal meaning rather than quietly rename the axis.</w:t>
      </w:r>
    </w:p>
    <w:p>
      <w:pPr>
        <w:spacing w:after="120"/>
        <w:jc w:val="both"/>
      </w:pPr>
      <w:r>
        <w:t>Source grouping addresses dependence above the participant. The lineage guard registers documented accession aliases under a shared source and refuses a train, validation or test split that places one known family in multiple partitions. An unknown accession fails rather than becoming independent by default. A separate exact-mirror screen excludes old accessions but labels all remaining records only as candidates with near-duplicate status unchecked. This asymmetry is intentional: finding a known overlap establishes a problem, while failing to find one does not establish independence. A source-family registry needs positive recruitment, sample and processing evidence. Distinct repository URLs, projects or study titles are identifiers to investigate, not independent experiments to count.</w:t>
      </w:r>
    </w:p>
    <w:p>
      <w:pPr>
        <w:spacing w:after="120"/>
        <w:jc w:val="both"/>
      </w:pPr>
      <w:r>
        <w:t>Evaluation aggregation then has to follow the intended boundary. The implemented study-aware comparison computes each submitted study's median candidate error and median comparator error, subtracts them, and averages those study differences with equal study weight. Its bootstrap resamples studies together, not individual rows from within a study. A large source cannot dominate merely because it has many specimens. Nevertheless, supplied study identifiers may still conceal repeated recruitment, related participants or laboratory dependence; the routine marks external-win certification false regardless of its interval. With fewer than two submitted studies it reports insufficient studies and does not manufacture a study-bootstrap interval. These are properties of a statistic, not permission to call a viewed development study external validation.</w:t>
      </w:r>
    </w:p>
    <w:p>
      <w:pPr>
        <w:spacing w:after="120"/>
        <w:jc w:val="both"/>
      </w:pPr>
      <w:r>
        <w:t>Paired losses also do not make every possible contrast equivalent. The difference between two study medians is generally different from the median of samplewise paired differences. Likewise, a mean participant loss can differ from a median taxon loss pooled over participants. These choices are not interchangeable translations of one result. The paired prediction files, sample coverage, outcome mask, weighting rule and comparator selection must all be frozen for the same task. The mouse-level sensitivities earlier in this paper retain the original forecasts and explicitly change the biological aggregation level; they do not rewrite the archived taxon-pair benchmark. A future independent comparison should specify the endpoint and resampling unit before observing whether either aggregation favors the new model.</w:t>
      </w:r>
    </w:p>
    <w:p>
      <w:pPr>
        <w:spacing w:after="120"/>
        <w:jc w:val="both"/>
      </w:pPr>
      <w:r>
        <w:t>Implementation anchors are src/microtwin/sample_collapse.py, src/microtwin/course_design.py, src/microtwin/subject_partition.py, src/microtwin/source_family.py, src/microtwin/mirror_guard.py and src/microtwin/leaderboard_stats.py. This method synthesis introduces no fresh fit, cohort outcome or empirical benchmark. It identifies the contracts required to turn specimen rows into a scientifically interpretable forecast and explains why the archived 160-table audit, the viewed mouse results and the first-period SCFA test retain separate scopes. The remaining external-test and perturbation-validation gates require new qualifying evidence, not a larger count of analytical rows.</w:t>
      </w:r>
    </w:p>
    <w:p>
      <w:pPr>
        <w:pStyle w:val="Heading1"/>
      </w:pPr>
      <w:r>
        <w:t>Vocabulary restriction changes the prediction target</w:t>
      </w:r>
    </w:p>
    <w:p>
      <w:pPr>
        <w:spacing w:after="120"/>
        <w:jc w:val="both"/>
      </w:pPr>
      <w:r>
        <w:t>A fixed-vocabulary composition model cannot represent a community whose measured taxa extend beyond that vocabulary. The transfer-coverage routine measures how much of each submitted count column lies within the training names before any predictive error is calculated. It reports shared-name count, median retained mass and minimum retained mass. The pilot gate uses the minimum rather than the median so that high-coverage specimens do not hide an unsupported specimen. Its default minimum mass of 0.9 and minimum twenty shared genera are prospective planning thresholds, not biologically calibrated guarantees. They must be frozen in a task manifest and supported by the intended use. Passing them establishes only vocabulary eligibility, not prediction accuracy, compatible taxonomy, source independence or reuse rights.</w:t>
      </w:r>
    </w:p>
    <w:p>
      <w:pPr>
        <w:spacing w:after="120"/>
        <w:jc w:val="both"/>
      </w:pPr>
      <w:r>
        <w:t>Consider a hypothetical community with relative abundances A=0.4, B=0.1 and C=0.5, when a predictor knows only A and B. Restricting the observed composition to those known taxa and renormalizing yields A=0.8 and B=0.2. A predictor returning exactly that vector has zero error against the restricted target, yet extending it with C=0 gives a full-community Bray-Curtis error of 0.5 against the original observation. The calculation follows from half the sum of absolute differences between normalized vectors: (0.4+0.1+0.5)/2. Perfect restricted performance can therefore coexist with a large whole-community error. The restriction is not a harmless formatting step; it changes which abundance distribution the model claims to predict. This example is analytical and hypothetical, not a measured result from a new cohort.</w:t>
      </w:r>
    </w:p>
    <w:p>
      <w:pPr>
        <w:spacing w:after="120"/>
        <w:jc w:val="both"/>
      </w:pPr>
      <w:r>
        <w:t>The fixed names themselves are an incomplete measurement bridge. An identical genus string may arise from different taxonomic databases, marker regions, classifier versions and filtering rules. Conversely, different strings can refer to the same biological lineage. The count-mass check deliberately performs no synonym translation and cannot settle either case. A harmonization map must be supported by the source taxonomy and frozen before outcome comparisons; choosing translations because they improve a score would mix target construction with model selection. The archived EMP pilot and HMP input diagnostics remain viewed development evidence. A later correction informed by those diagnostics cannot turn them back into untouched tests, even if the correction is scientifically sensible.</w:t>
      </w:r>
    </w:p>
    <w:p>
      <w:pPr>
        <w:spacing w:after="120"/>
        <w:jc w:val="both"/>
      </w:pPr>
      <w:r>
        <w:t>Filtering unsupported queries also changes the evaluated population. A coverage rate calculated only among accepted rows describes those accepted rows, not all submitted samples. The denominator must therefore preserve candidate samples, excluded samples, scored samples and the exclusion rule. An abstaining system can be useful when it clearly states the range it covers, but it cannot report only its easiest cases and imply unrestricted availability. Thresholds, features and exclusion rules should be chosen without looking at the held-out predictive errors. Input-only filtering avoids one form of selection on error, yet it can still select a particular biological population. The result needs both the conditional performance and the coverage of the intended population.</w:t>
      </w:r>
    </w:p>
    <w:p>
      <w:pPr>
        <w:pStyle w:val="Heading1"/>
      </w:pPr>
      <w:r>
        <w:t>A comparison must preserve the question each tool answers</w:t>
      </w:r>
    </w:p>
    <w:p>
      <w:pPr>
        <w:spacing w:after="120"/>
        <w:jc w:val="both"/>
      </w:pPr>
      <w:r>
        <w:t>An external head-to-head needs more than the same error formula. Both tools must receive information permitted by the same task, produce outputs that answer that task, and be selected using training or validation evidence rather than the final test. A contemporaneous-assemblage predictor conditions on taxa already observed at the prediction occasion. A dynamical forecaster may receive an earlier abundance trajectory and an intervention schedule. Giving one method the later assemblage and the other only the earlier trajectory changes the information set. Such a comparison may be an informative diagnostic, but it is not automatically a fair test of future individualized response. Inputs, horizon, detection policy, available interventions and population must be part of the frozen comparator contract.</w:t>
      </w:r>
    </w:p>
    <w:p>
      <w:pPr>
        <w:spacing w:after="120"/>
        <w:jc w:val="both"/>
      </w:pPr>
      <w:r>
        <w:t>Predictive gain is similarly distinct from mechanistic identification. Correlated taxa can improve a forecast because they share an environment, reflect a common host state or carry redundant measurement information. A fitted interaction term can use that structure without identifying the effect of experimentally changing one taxon. Composition closure adds another distinction: changing the denominator can alter relative abundance even when an organism's absolute quantity stays fixed. A taxon-removal prediction therefore needs a defined intervention, an absolute or relative endpoint, and biological evidence about the response system. The constructed three-species ambiguity witnesses elsewhere in this paper expose one identification problem, but their mathematical existence is not a fitted causal model of a human participant.</w:t>
      </w:r>
    </w:p>
    <w:p>
      <w:pPr>
        <w:spacing w:after="120"/>
        <w:jc w:val="both"/>
      </w:pPr>
      <w:r>
        <w:t>A discovery claim adds requirements beyond forecast usefulness. The proposed biological statement must be distinguishable from prior work, its defining analysis and multiplicity rule must be fixed, and an independent source must reproduce the relevant observation under a compatible measurement contract. Agreement between two algorithms on one previously viewed table is robustness to an analysis choice, not independent biological replication. A source-admission pass likewise does not establish novelty. The result-declaration guard records independence, subject separation, measurement compatibility, rights, protocol timing, comparator eligibility, source-level evidence, multiplicity, prior-art distinction and replication as separate evidence requirements. Even complete submitted records reach manual evidence review, never automatic discovery certification.</w:t>
      </w:r>
    </w:p>
    <w:p>
      <w:pPr>
        <w:spacing w:after="120"/>
        <w:jc w:val="both"/>
      </w:pPr>
      <w:r>
        <w:t>These boundaries explain how the current results should be used. The population baseline supplies an executable reference, internal calibration exposes a limited uncertainty contract, source screens identify exactly where transfer cannot yet be tested, and the measured SCFA development forecast estimates a modest within-study predictive signal while missing its frozen usefulness rule. None can substitute for another. In particular, a good internal score cannot open a blocked source license, a compatible specimen map cannot establish a benchmark win, and a benchmark win would not by itself identify an antibiotic or dietary treatment effect. This section specifies the research questions that remain distinct; it introduces no new cohort scoring or scientific success count. Implementation anchors are src/microtwin/transfer_coverage.py, src/microtwin/coverage_gate.py and src/microtwin/outcome_guard.py, with the archived EMP pilot and HMP input diagnostics as scope records.</w:t>
      </w:r>
    </w:p>
    <w:p>
      <w:pPr>
        <w:pStyle w:val="Heading1"/>
      </w:pPr>
      <w:r>
        <w:t>Synthetic precision test: repeated rows are not new subjects</w:t>
      </w:r>
    </w:p>
    <w:p>
      <w:pPr>
        <w:spacing w:after="120"/>
        <w:jc w:val="both"/>
      </w:pPr>
      <w:r>
        <w:t>The biological-unit concern can be tested quantitatively without opening a new biological outcome. We froze a synthetic experiment in which the true mean paired loss gap is known. For independent subject i and repeated observation j, the gap is delta plus a shared standard-normal subject term weighted by the square root of rho and an independent standard-normal observation term weighted by the square root of one minus rho. Thus rho is the within-subject correlation and each individual observation has variance one. The target is the equally weighted mean subject gap. The grid contains four subject counts (4, 5, 10 and 20), three repeat counts (1, 10 and 25), three correlations (0, 0.5 and 0.9), and two true gaps (0 and 0.25), giving 72 cells. All choices were frozen before computation; repeat count was bounded to 25 rather than the initial planning concept of 100.</w:t>
      </w:r>
    </w:p>
    <w:p>
      <w:pPr>
        <w:spacing w:after="120"/>
        <w:jc w:val="both"/>
      </w:pPr>
      <w:r>
        <w:t>Each cell has 100 independent Monte Carlo panels. For each panel we compute two percentile bootstrap intervals with 199 resamples and the default linear 2.5 and 97.5 percentiles. Naive resampling treats all subject-by-repeat observations as independent rows. Cluster resampling first averages within each subject and resamples those subject means. Bootstrap random draws are separate for the two methods. Coverage means that the interval contains the known true delta; a strictly positive lower endpoint is counted separately. Under delta zero that positive exclusion is a one-sided false-positive diagnostic, not the entire two-sided error rate. Under delta 0.25 it is a detection rate for this constructed model, not a real-cohort power estimate. Mean interval width and coverage Monte Carlo standard error are retained for every cell.</w:t>
      </w:r>
    </w:p>
    <w:p>
      <w:pPr>
        <w:keepNext/>
      </w:pPr>
      <w:r>
        <w:rPr>
          <w:b/>
        </w:rPr>
        <w:t>Table 23. Frozen synthetic null at 25 repeats and correlation 0.9. Each rate is based on 100 panels. Width is in synthetic paired-gap units, not microbiome abundance. This selected slice is illustrative; all 72 cells are retained in the result artifact.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Subjects</w:t>
            </w:r>
          </w:p>
        </w:tc>
        <w:tc>
          <w:tcPr>
            <w:tcW w:type="dxa" w:w="1234"/>
            <w:vAlign w:val="center"/>
          </w:tcPr>
          <w:p>
            <w:pPr>
              <w:jc w:val="left"/>
            </w:pPr>
            <w:r>
              <w:rPr>
                <w:rFonts w:ascii="Times New Roman" w:hAnsi="Times New Roman"/>
                <w:sz w:val="18"/>
              </w:rPr>
              <w:t>Naive coverage</w:t>
            </w:r>
          </w:p>
        </w:tc>
        <w:tc>
          <w:tcPr>
            <w:tcW w:type="dxa" w:w="1234"/>
            <w:vAlign w:val="center"/>
          </w:tcPr>
          <w:p>
            <w:pPr>
              <w:jc w:val="left"/>
            </w:pPr>
            <w:r>
              <w:rPr>
                <w:rFonts w:ascii="Times New Roman" w:hAnsi="Times New Roman"/>
                <w:sz w:val="18"/>
              </w:rPr>
              <w:t>Cluster coverage</w:t>
            </w:r>
          </w:p>
        </w:tc>
        <w:tc>
          <w:tcPr>
            <w:tcW w:type="dxa" w:w="1234"/>
            <w:vAlign w:val="center"/>
          </w:tcPr>
          <w:p>
            <w:pPr>
              <w:jc w:val="left"/>
            </w:pPr>
            <w:r>
              <w:rPr>
                <w:rFonts w:ascii="Times New Roman" w:hAnsi="Times New Roman"/>
                <w:sz w:val="18"/>
              </w:rPr>
              <w:t>Naive positive exclusion</w:t>
            </w:r>
          </w:p>
        </w:tc>
        <w:tc>
          <w:tcPr>
            <w:tcW w:type="dxa" w:w="1234"/>
            <w:vAlign w:val="center"/>
          </w:tcPr>
          <w:p>
            <w:pPr>
              <w:jc w:val="left"/>
            </w:pPr>
            <w:r>
              <w:rPr>
                <w:rFonts w:ascii="Times New Roman" w:hAnsi="Times New Roman"/>
                <w:sz w:val="18"/>
              </w:rPr>
              <w:t>Cluster positive exclusion</w:t>
            </w:r>
          </w:p>
        </w:tc>
        <w:tc>
          <w:tcPr>
            <w:tcW w:type="dxa" w:w="1234"/>
            <w:vAlign w:val="center"/>
          </w:tcPr>
          <w:p>
            <w:pPr>
              <w:jc w:val="left"/>
            </w:pPr>
            <w:r>
              <w:rPr>
                <w:rFonts w:ascii="Times New Roman" w:hAnsi="Times New Roman"/>
                <w:sz w:val="18"/>
              </w:rPr>
              <w:t>Naive width</w:t>
            </w:r>
          </w:p>
        </w:tc>
        <w:tc>
          <w:tcPr>
            <w:tcW w:type="dxa" w:w="1234"/>
            <w:vAlign w:val="center"/>
          </w:tcPr>
          <w:p>
            <w:pPr>
              <w:jc w:val="left"/>
            </w:pPr>
            <w:r>
              <w:rPr>
                <w:rFonts w:ascii="Times New Roman" w:hAnsi="Times New Roman"/>
                <w:sz w:val="18"/>
              </w:rPr>
              <w:t>Cluster width</w:t>
            </w:r>
          </w:p>
        </w:tc>
      </w:tr>
      <w:tr>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0.310</w:t>
            </w:r>
          </w:p>
        </w:tc>
        <w:tc>
          <w:tcPr>
            <w:tcW w:type="dxa" w:w="1234"/>
            <w:vAlign w:val="center"/>
          </w:tcPr>
          <w:p>
            <w:pPr>
              <w:jc w:val="left"/>
            </w:pPr>
            <w:r>
              <w:rPr>
                <w:rFonts w:ascii="Times New Roman" w:hAnsi="Times New Roman"/>
                <w:sz w:val="18"/>
              </w:rPr>
              <w:t>0.810</w:t>
            </w:r>
          </w:p>
        </w:tc>
        <w:tc>
          <w:tcPr>
            <w:tcW w:type="dxa" w:w="1234"/>
            <w:vAlign w:val="center"/>
          </w:tcPr>
          <w:p>
            <w:pPr>
              <w:jc w:val="left"/>
            </w:pPr>
            <w:r>
              <w:rPr>
                <w:rFonts w:ascii="Times New Roman" w:hAnsi="Times New Roman"/>
                <w:sz w:val="18"/>
              </w:rPr>
              <w:t>0.330</w:t>
            </w:r>
          </w:p>
        </w:tc>
        <w:tc>
          <w:tcPr>
            <w:tcW w:type="dxa" w:w="1234"/>
            <w:vAlign w:val="center"/>
          </w:tcPr>
          <w:p>
            <w:pPr>
              <w:jc w:val="left"/>
            </w:pPr>
            <w:r>
              <w:rPr>
                <w:rFonts w:ascii="Times New Roman" w:hAnsi="Times New Roman"/>
                <w:sz w:val="18"/>
              </w:rPr>
              <w:t>0.120</w:t>
            </w:r>
          </w:p>
        </w:tc>
        <w:tc>
          <w:tcPr>
            <w:tcW w:type="dxa" w:w="1234"/>
            <w:vAlign w:val="center"/>
          </w:tcPr>
          <w:p>
            <w:pPr>
              <w:jc w:val="left"/>
            </w:pPr>
            <w:r>
              <w:rPr>
                <w:rFonts w:ascii="Times New Roman" w:hAnsi="Times New Roman"/>
                <w:sz w:val="18"/>
              </w:rPr>
              <w:t>0.340</w:t>
            </w:r>
          </w:p>
        </w:tc>
        <w:tc>
          <w:tcPr>
            <w:tcW w:type="dxa" w:w="1234"/>
            <w:vAlign w:val="center"/>
          </w:tcPr>
          <w:p>
            <w:pPr>
              <w:jc w:val="left"/>
            </w:pPr>
            <w:r>
              <w:rPr>
                <w:rFonts w:ascii="Times New Roman" w:hAnsi="Times New Roman"/>
                <w:sz w:val="18"/>
              </w:rPr>
              <w:t>1.531</w:t>
            </w:r>
          </w:p>
        </w:tc>
      </w:tr>
      <w:tr>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0.870</w:t>
            </w:r>
          </w:p>
        </w:tc>
        <w:tc>
          <w:tcPr>
            <w:tcW w:type="dxa" w:w="1234"/>
            <w:vAlign w:val="center"/>
          </w:tcPr>
          <w:p>
            <w:pPr>
              <w:jc w:val="left"/>
            </w:pPr>
            <w:r>
              <w:rPr>
                <w:rFonts w:ascii="Times New Roman" w:hAnsi="Times New Roman"/>
                <w:sz w:val="18"/>
              </w:rPr>
              <w:t>0.240</w:t>
            </w:r>
          </w:p>
        </w:tc>
        <w:tc>
          <w:tcPr>
            <w:tcW w:type="dxa" w:w="1234"/>
            <w:vAlign w:val="center"/>
          </w:tcPr>
          <w:p>
            <w:pPr>
              <w:jc w:val="left"/>
            </w:pPr>
            <w:r>
              <w:rPr>
                <w:rFonts w:ascii="Times New Roman" w:hAnsi="Times New Roman"/>
                <w:sz w:val="18"/>
              </w:rPr>
              <w:t>0.030</w:t>
            </w:r>
          </w:p>
        </w:tc>
        <w:tc>
          <w:tcPr>
            <w:tcW w:type="dxa" w:w="1234"/>
            <w:vAlign w:val="center"/>
          </w:tcPr>
          <w:p>
            <w:pPr>
              <w:jc w:val="left"/>
            </w:pPr>
            <w:r>
              <w:rPr>
                <w:rFonts w:ascii="Times New Roman" w:hAnsi="Times New Roman"/>
                <w:sz w:val="18"/>
              </w:rPr>
              <w:t>0.311</w:t>
            </w:r>
          </w:p>
        </w:tc>
        <w:tc>
          <w:tcPr>
            <w:tcW w:type="dxa" w:w="1234"/>
            <w:vAlign w:val="center"/>
          </w:tcPr>
          <w:p>
            <w:pPr>
              <w:jc w:val="left"/>
            </w:pPr>
            <w:r>
              <w:rPr>
                <w:rFonts w:ascii="Times New Roman" w:hAnsi="Times New Roman"/>
                <w:sz w:val="18"/>
              </w:rPr>
              <w:t>1.413</w:t>
            </w:r>
          </w:p>
        </w:tc>
      </w:tr>
      <w:tr>
        <w:tc>
          <w:tcPr>
            <w:tcW w:type="dxa" w:w="1234"/>
            <w:vAlign w:val="center"/>
          </w:tcPr>
          <w:p>
            <w:pPr>
              <w:jc w:val="left"/>
            </w:pPr>
            <w:r>
              <w:rPr>
                <w:rFonts w:ascii="Times New Roman" w:hAnsi="Times New Roman"/>
                <w:sz w:val="18"/>
              </w:rPr>
              <w:t>10</w:t>
            </w:r>
          </w:p>
        </w:tc>
        <w:tc>
          <w:tcPr>
            <w:tcW w:type="dxa" w:w="1234"/>
            <w:vAlign w:val="center"/>
          </w:tcPr>
          <w:p>
            <w:pPr>
              <w:jc w:val="left"/>
            </w:pPr>
            <w:r>
              <w:rPr>
                <w:rFonts w:ascii="Times New Roman" w:hAnsi="Times New Roman"/>
                <w:sz w:val="18"/>
              </w:rPr>
              <w:t>0.320</w:t>
            </w:r>
          </w:p>
        </w:tc>
        <w:tc>
          <w:tcPr>
            <w:tcW w:type="dxa" w:w="1234"/>
            <w:vAlign w:val="center"/>
          </w:tcPr>
          <w:p>
            <w:pPr>
              <w:jc w:val="left"/>
            </w:pPr>
            <w:r>
              <w:rPr>
                <w:rFonts w:ascii="Times New Roman" w:hAnsi="Times New Roman"/>
                <w:sz w:val="18"/>
              </w:rPr>
              <w:t>0.870</w:t>
            </w:r>
          </w:p>
        </w:tc>
        <w:tc>
          <w:tcPr>
            <w:tcW w:type="dxa" w:w="1234"/>
            <w:vAlign w:val="center"/>
          </w:tcPr>
          <w:p>
            <w:pPr>
              <w:jc w:val="left"/>
            </w:pPr>
            <w:r>
              <w:rPr>
                <w:rFonts w:ascii="Times New Roman" w:hAnsi="Times New Roman"/>
                <w:sz w:val="18"/>
              </w:rPr>
              <w:t>0.290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1.050</w:t>
            </w:r>
          </w:p>
        </w:tc>
      </w:tr>
      <w:tr>
        <w:tc>
          <w:tcPr>
            <w:tcW w:type="dxa" w:w="1234"/>
            <w:vAlign w:val="center"/>
          </w:tcPr>
          <w:p>
            <w:pPr>
              <w:jc w:val="left"/>
            </w:pPr>
            <w:r>
              <w:rPr>
                <w:rFonts w:ascii="Times New Roman" w:hAnsi="Times New Roman"/>
                <w:sz w:val="18"/>
              </w:rPr>
              <w:t>20</w:t>
            </w:r>
          </w:p>
        </w:tc>
        <w:tc>
          <w:tcPr>
            <w:tcW w:type="dxa" w:w="1234"/>
            <w:vAlign w:val="center"/>
          </w:tcPr>
          <w:p>
            <w:pPr>
              <w:jc w:val="left"/>
            </w:pPr>
            <w:r>
              <w:rPr>
                <w:rFonts w:ascii="Times New Roman" w:hAnsi="Times New Roman"/>
                <w:sz w:val="18"/>
              </w:rPr>
              <w:t>0.310</w:t>
            </w:r>
          </w:p>
        </w:tc>
        <w:tc>
          <w:tcPr>
            <w:tcW w:type="dxa" w:w="1234"/>
            <w:vAlign w:val="center"/>
          </w:tcPr>
          <w:p>
            <w:pPr>
              <w:jc w:val="left"/>
            </w:pPr>
            <w:r>
              <w:rPr>
                <w:rFonts w:ascii="Times New Roman" w:hAnsi="Times New Roman"/>
                <w:sz w:val="18"/>
              </w:rPr>
              <w:t>0.900</w:t>
            </w:r>
          </w:p>
        </w:tc>
        <w:tc>
          <w:tcPr>
            <w:tcW w:type="dxa" w:w="1234"/>
            <w:vAlign w:val="center"/>
          </w:tcPr>
          <w:p>
            <w:pPr>
              <w:jc w:val="left"/>
            </w:pPr>
            <w:r>
              <w:rPr>
                <w:rFonts w:ascii="Times New Roman" w:hAnsi="Times New Roman"/>
                <w:sz w:val="18"/>
              </w:rPr>
              <w:t>0.350</w:t>
            </w:r>
          </w:p>
        </w:tc>
        <w:tc>
          <w:tcPr>
            <w:tcW w:type="dxa" w:w="1234"/>
            <w:vAlign w:val="center"/>
          </w:tcPr>
          <w:p>
            <w:pPr>
              <w:jc w:val="left"/>
            </w:pPr>
            <w:r>
              <w:rPr>
                <w:rFonts w:ascii="Times New Roman" w:hAnsi="Times New Roman"/>
                <w:sz w:val="18"/>
              </w:rPr>
              <w:t>0.050</w:t>
            </w:r>
          </w:p>
        </w:tc>
        <w:tc>
          <w:tcPr>
            <w:tcW w:type="dxa" w:w="1234"/>
            <w:vAlign w:val="center"/>
          </w:tcPr>
          <w:p>
            <w:pPr>
              <w:jc w:val="left"/>
            </w:pPr>
            <w:r>
              <w:rPr>
                <w:rFonts w:ascii="Times New Roman" w:hAnsi="Times New Roman"/>
                <w:sz w:val="18"/>
              </w:rPr>
              <w:t>0.161</w:t>
            </w:r>
          </w:p>
        </w:tc>
        <w:tc>
          <w:tcPr>
            <w:tcW w:type="dxa" w:w="1234"/>
            <w:vAlign w:val="center"/>
          </w:tcPr>
          <w:p>
            <w:pPr>
              <w:jc w:val="left"/>
            </w:pPr>
            <w:r>
              <w:rPr>
                <w:rFonts w:ascii="Times New Roman" w:hAnsi="Times New Roman"/>
                <w:sz w:val="18"/>
              </w:rPr>
              <w:t>0.755</w:t>
            </w:r>
          </w:p>
        </w:tc>
      </w:tr>
    </w:tbl>
    <w:p>
      <w:pPr>
        <w:spacing w:after="120"/>
        <w:jc w:val="both"/>
      </w:pPr>
      <w:r>
        <w:t>In that high-correlation slice, naive coverage stays between 0.27 and 0.32 despite nominal 0.95 intervals. Cluster coverage is 0.81, 0.87, 0.87 and 0.90 as subject count rises from four to twenty. Naive positive exclusion rates range from 0.24 to 0.35; cluster rates range from 0.03 to 0.12. Cluster intervals are wider because they preserve the shared subject component instead of treating repeated rows as new independent information. This result demonstrates a precision failure in the constructed correlated-row setting. It does not establish that cluster resampling has achieved nominal coverage or that twenty subjects suffice for a microbiome trial.</w:t>
      </w:r>
    </w:p>
    <w:p>
      <w:pPr>
        <w:spacing w:after="120"/>
        <w:jc w:val="both"/>
      </w:pPr>
      <w:r>
        <w:t>The negative controls prevent a universal claim about bootstrap superiority. At zero correlation with 25 repeats and four subjects, naive coverage is 1.00 in these 100 panels while cluster coverage is 0.84; with five subjects the values are 0.89 and 0.81. Independent repeated errors supply real additional information in this special model, while a small collection of subject averages makes the percentile bootstrap vulnerable to its finite-sample approximation. Across the complete null grid, cluster coverage ranges from 0.74 to 0.98; across the positive-gap grid it ranges from 0.72 to 0.96. The variation, and the small Monte Carlo count, prohibit treating a single cell as an exact coverage guarantee. A reported Monte Carlo standard error of zero at an observed rate of zero or one is only the plug-in estimate, not proof that the underlying event probability is exactly zero or one.</w:t>
      </w:r>
    </w:p>
    <w:p>
      <w:pPr>
        <w:spacing w:after="120"/>
        <w:jc w:val="both"/>
      </w:pPr>
      <w:r>
        <w:t>This experiment also has a simple variance interpretation. Under the declared equal-repeat normal model, the sample mean variance is rho/n plus (1-rho)/(n times repeats). At zero correlation, repeats reduce both components to independent observation noise. At positive correlation, increasing repeats cannot eliminate the shared subject term rho/n. Increasing independent subjects reduces that term; adding more taxon-time rows within the same subject does not. This identity follows from the construction, not from a fitted microbiome covariance model. In real compositional or longitudinal data, unequal repeats, missingness, treatment allocation, model fitting, heavy tails and source shifts can alter both the relevant target and the uncertainty calculation.</w:t>
      </w:r>
    </w:p>
    <w:p>
      <w:pPr>
        <w:spacing w:after="120"/>
        <w:jc w:val="both"/>
      </w:pPr>
      <w:r>
        <w:t>The run processed 7,200 panels and 14,400 intervals in 2.977 seconds under a 120-second single-thread local cap. No biological input, training outcome or new model fit was used. The frozen protocol and code were committed before scoring. Complete results are results/hierarchical_precision_20261007.json, protocol results/PREREG_20261007_hierarchical_precision.md, and script scripts/hierarchical_precision.py. The recorded useful_win=False reflects that this is a methodological sensitivity study, not a biological benchmark. Neither resampling method is new, and the result does not establish priority, a universal minimum sample size or replicated ecological discovery. It gives a concrete reason to retain biological-unit grouping while separately testing whether the chosen small-sample interval method is adequate.</w:t>
      </w:r>
    </w:p>
    <w:p>
      <w:pPr>
        <w:pStyle w:val="Heading1"/>
      </w:pPr>
      <w:r>
        <w:t>An analytic reference isolates the interval approximation</w:t>
      </w:r>
    </w:p>
    <w:p>
      <w:pPr>
        <w:spacing w:after="120"/>
        <w:jc w:val="both"/>
      </w:pPr>
      <w:r>
        <w:t>The first simulation leaves an important question open: preserving subject grouping does not make a small-sample percentile interval well calibrated. We therefore froze a separate follow-up after seeing that result, with a fresh seed and a narrower null-only grid. It is a development-directed methodological check, not an untouched confirmation. The same normal equal-repeat construction implies independent normal subject means with variance rho plus (one minus rho) divided by the repeat count. Under that explicit model, the standard Student-t interval for the subject-mean population mean is an analytic reference. It estimates variability from the submitted subject means, uses sample standard deviation with n minus one degrees of freedom, and has half-width equal to the 97.5th t percentile times that deviation divided by the square root of n. This established formula is documented by NIST, https://www.itl.nist.gov/div898/handbook/eda/section3/eda352.htm ; quantiles are computed by SciPy 1.14.1, https://docs.scipy.org/doc/scipy/reference/generated/scipy.stats.t.html .</w:t>
      </w:r>
    </w:p>
    <w:p>
      <w:pPr>
        <w:spacing w:after="120"/>
        <w:jc w:val="both"/>
      </w:pPr>
      <w:r>
        <w:t>We also compute an oracle normal interval whose variance is known from the generative construction. Its half-width is the 97.5th standard-normal percentile times the square root of [rho+(1-rho)/repeats]/n. The oracle is a diagnostic reference, not an available real-data competitor: a microbiome analyst generally does not know the true covariance or population variance. Comparing it with the estimated-variance t interval separates information supplied by the construction from information estimated from the sample. Both analytic intervals target the same mean as the cluster percentile interval; none fits a microbiome model or predicts an intervention.</w:t>
      </w:r>
    </w:p>
    <w:p>
      <w:pPr>
        <w:spacing w:after="120"/>
        <w:jc w:val="both"/>
      </w:pPr>
      <w:r>
        <w:t>The frozen grid has subject counts 4, 5, 10 and 20, repeats 1 and 25, correlations 0, 0.5 and 0.9, and true mean zero throughout: 24 cells. Each cell has 500 independent panels and each cluster interval uses 199 bootstrap draws. The seed is 20261008, separate from the first experiment. Coverage, positive lower-endpoint exclusion, width and Monte Carlo standard error are retained for all cells. Across this grid, cluster coverage ranges from 0.774 to 0.942, Student-t coverage from 0.932 to 0.968, and oracle coverage from 0.936 to 0.962. Positive null exclusion ranges from 0.020 to 0.112 for cluster percentiles, 0.010 to 0.036 for t intervals and 0.014 to 0.034 for the oracle. These finite Monte Carlo ranges are observations, not exact probability bounds.</w:t>
      </w:r>
    </w:p>
    <w:p>
      <w:pPr>
        <w:keepNext/>
      </w:pPr>
      <w:r>
        <w:rPr>
          <w:b/>
        </w:rPr>
        <w:t>Table 24. Separate null-only normal-model reference, 25 repeats and correlation 0.9; 500 panels per cell. Oracle variance is known by construction, not estimated or available in the biological platform.</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Subjects</w:t>
            </w:r>
          </w:p>
        </w:tc>
        <w:tc>
          <w:tcPr>
            <w:tcW w:type="dxa" w:w="1234"/>
            <w:vAlign w:val="center"/>
          </w:tcPr>
          <w:p>
            <w:pPr>
              <w:jc w:val="left"/>
            </w:pPr>
            <w:r>
              <w:rPr>
                <w:rFonts w:ascii="Times New Roman" w:hAnsi="Times New Roman"/>
                <w:sz w:val="18"/>
              </w:rPr>
              <w:t>Cluster coverage</w:t>
            </w:r>
          </w:p>
        </w:tc>
        <w:tc>
          <w:tcPr>
            <w:tcW w:type="dxa" w:w="1234"/>
            <w:vAlign w:val="center"/>
          </w:tcPr>
          <w:p>
            <w:pPr>
              <w:jc w:val="left"/>
            </w:pPr>
            <w:r>
              <w:rPr>
                <w:rFonts w:ascii="Times New Roman" w:hAnsi="Times New Roman"/>
                <w:sz w:val="18"/>
              </w:rPr>
              <w:t>t coverage</w:t>
            </w:r>
          </w:p>
        </w:tc>
        <w:tc>
          <w:tcPr>
            <w:tcW w:type="dxa" w:w="1234"/>
            <w:vAlign w:val="center"/>
          </w:tcPr>
          <w:p>
            <w:pPr>
              <w:jc w:val="left"/>
            </w:pPr>
            <w:r>
              <w:rPr>
                <w:rFonts w:ascii="Times New Roman" w:hAnsi="Times New Roman"/>
                <w:sz w:val="18"/>
              </w:rPr>
              <w:t>Oracle coverage</w:t>
            </w:r>
          </w:p>
        </w:tc>
        <w:tc>
          <w:tcPr>
            <w:tcW w:type="dxa" w:w="1234"/>
            <w:vAlign w:val="center"/>
          </w:tcPr>
          <w:p>
            <w:pPr>
              <w:jc w:val="left"/>
            </w:pPr>
            <w:r>
              <w:rPr>
                <w:rFonts w:ascii="Times New Roman" w:hAnsi="Times New Roman"/>
                <w:sz w:val="18"/>
              </w:rPr>
              <w:t>Cluster width</w:t>
            </w:r>
          </w:p>
        </w:tc>
        <w:tc>
          <w:tcPr>
            <w:tcW w:type="dxa" w:w="1234"/>
            <w:vAlign w:val="center"/>
          </w:tcPr>
          <w:p>
            <w:pPr>
              <w:jc w:val="left"/>
            </w:pPr>
            <w:r>
              <w:rPr>
                <w:rFonts w:ascii="Times New Roman" w:hAnsi="Times New Roman"/>
                <w:sz w:val="18"/>
              </w:rPr>
              <w:t>t width</w:t>
            </w:r>
          </w:p>
        </w:tc>
        <w:tc>
          <w:tcPr>
            <w:tcW w:type="dxa" w:w="1234"/>
            <w:vAlign w:val="center"/>
          </w:tcPr>
          <w:p>
            <w:pPr>
              <w:jc w:val="left"/>
            </w:pPr>
            <w:r>
              <w:rPr>
                <w:rFonts w:ascii="Times New Roman" w:hAnsi="Times New Roman"/>
                <w:sz w:val="18"/>
              </w:rPr>
              <w:t>Oracle width</w:t>
            </w:r>
          </w:p>
        </w:tc>
      </w:tr>
      <w:tr>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0.774</w:t>
            </w:r>
          </w:p>
        </w:tc>
        <w:tc>
          <w:tcPr>
            <w:tcW w:type="dxa" w:w="1234"/>
            <w:vAlign w:val="center"/>
          </w:tcPr>
          <w:p>
            <w:pPr>
              <w:jc w:val="left"/>
            </w:pPr>
            <w:r>
              <w:rPr>
                <w:rFonts w:ascii="Times New Roman" w:hAnsi="Times New Roman"/>
                <w:sz w:val="18"/>
              </w:rPr>
              <w:t>0.952</w:t>
            </w:r>
          </w:p>
        </w:tc>
        <w:tc>
          <w:tcPr>
            <w:tcW w:type="dxa" w:w="1234"/>
            <w:vAlign w:val="center"/>
          </w:tcPr>
          <w:p>
            <w:pPr>
              <w:jc w:val="left"/>
            </w:pPr>
            <w:r>
              <w:rPr>
                <w:rFonts w:ascii="Times New Roman" w:hAnsi="Times New Roman"/>
                <w:sz w:val="18"/>
              </w:rPr>
              <w:t>0.948</w:t>
            </w:r>
          </w:p>
        </w:tc>
        <w:tc>
          <w:tcPr>
            <w:tcW w:type="dxa" w:w="1234"/>
            <w:vAlign w:val="center"/>
          </w:tcPr>
          <w:p>
            <w:pPr>
              <w:jc w:val="left"/>
            </w:pPr>
            <w:r>
              <w:rPr>
                <w:rFonts w:ascii="Times New Roman" w:hAnsi="Times New Roman"/>
                <w:sz w:val="18"/>
              </w:rPr>
              <w:t>1.452</w:t>
            </w:r>
          </w:p>
        </w:tc>
        <w:tc>
          <w:tcPr>
            <w:tcW w:type="dxa" w:w="1234"/>
            <w:vAlign w:val="center"/>
          </w:tcPr>
          <w:p>
            <w:pPr>
              <w:jc w:val="left"/>
            </w:pPr>
            <w:r>
              <w:rPr>
                <w:rFonts w:ascii="Times New Roman" w:hAnsi="Times New Roman"/>
                <w:sz w:val="18"/>
              </w:rPr>
              <w:t>2.818</w:t>
            </w:r>
          </w:p>
        </w:tc>
        <w:tc>
          <w:tcPr>
            <w:tcW w:type="dxa" w:w="1234"/>
            <w:vAlign w:val="center"/>
          </w:tcPr>
          <w:p>
            <w:pPr>
              <w:jc w:val="left"/>
            </w:pPr>
            <w:r>
              <w:rPr>
                <w:rFonts w:ascii="Times New Roman" w:hAnsi="Times New Roman"/>
                <w:sz w:val="18"/>
              </w:rPr>
              <w:t>1.864</w:t>
            </w:r>
          </w:p>
        </w:tc>
      </w:tr>
      <w:tr>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0.818</w:t>
            </w:r>
          </w:p>
        </w:tc>
        <w:tc>
          <w:tcPr>
            <w:tcW w:type="dxa" w:w="1234"/>
            <w:vAlign w:val="center"/>
          </w:tcPr>
          <w:p>
            <w:pPr>
              <w:jc w:val="left"/>
            </w:pPr>
            <w:r>
              <w:rPr>
                <w:rFonts w:ascii="Times New Roman" w:hAnsi="Times New Roman"/>
                <w:sz w:val="18"/>
              </w:rPr>
              <w:t>0.932</w:t>
            </w:r>
          </w:p>
        </w:tc>
        <w:tc>
          <w:tcPr>
            <w:tcW w:type="dxa" w:w="1234"/>
            <w:vAlign w:val="center"/>
          </w:tcPr>
          <w:p>
            <w:pPr>
              <w:jc w:val="left"/>
            </w:pPr>
            <w:r>
              <w:rPr>
                <w:rFonts w:ascii="Times New Roman" w:hAnsi="Times New Roman"/>
                <w:sz w:val="18"/>
              </w:rPr>
              <w:t>0.944</w:t>
            </w:r>
          </w:p>
        </w:tc>
        <w:tc>
          <w:tcPr>
            <w:tcW w:type="dxa" w:w="1234"/>
            <w:vAlign w:val="center"/>
          </w:tcPr>
          <w:p>
            <w:pPr>
              <w:jc w:val="left"/>
            </w:pPr>
            <w:r>
              <w:rPr>
                <w:rFonts w:ascii="Times New Roman" w:hAnsi="Times New Roman"/>
                <w:sz w:val="18"/>
              </w:rPr>
              <w:t>1.383</w:t>
            </w:r>
          </w:p>
        </w:tc>
        <w:tc>
          <w:tcPr>
            <w:tcW w:type="dxa" w:w="1234"/>
            <w:vAlign w:val="center"/>
          </w:tcPr>
          <w:p>
            <w:pPr>
              <w:jc w:val="left"/>
            </w:pPr>
            <w:r>
              <w:rPr>
                <w:rFonts w:ascii="Times New Roman" w:hAnsi="Times New Roman"/>
                <w:sz w:val="18"/>
              </w:rPr>
              <w:t>2.278</w:t>
            </w:r>
          </w:p>
        </w:tc>
        <w:tc>
          <w:tcPr>
            <w:tcW w:type="dxa" w:w="1234"/>
            <w:vAlign w:val="center"/>
          </w:tcPr>
          <w:p>
            <w:pPr>
              <w:jc w:val="left"/>
            </w:pPr>
            <w:r>
              <w:rPr>
                <w:rFonts w:ascii="Times New Roman" w:hAnsi="Times New Roman"/>
                <w:sz w:val="18"/>
              </w:rPr>
              <w:t>1.667</w:t>
            </w:r>
          </w:p>
        </w:tc>
      </w:tr>
      <w:tr>
        <w:tc>
          <w:tcPr>
            <w:tcW w:type="dxa" w:w="1234"/>
            <w:vAlign w:val="center"/>
          </w:tcPr>
          <w:p>
            <w:pPr>
              <w:jc w:val="left"/>
            </w:pPr>
            <w:r>
              <w:rPr>
                <w:rFonts w:ascii="Times New Roman" w:hAnsi="Times New Roman"/>
                <w:sz w:val="18"/>
              </w:rPr>
              <w:t>10</w:t>
            </w:r>
          </w:p>
        </w:tc>
        <w:tc>
          <w:tcPr>
            <w:tcW w:type="dxa" w:w="1234"/>
            <w:vAlign w:val="center"/>
          </w:tcPr>
          <w:p>
            <w:pPr>
              <w:jc w:val="left"/>
            </w:pPr>
            <w:r>
              <w:rPr>
                <w:rFonts w:ascii="Times New Roman" w:hAnsi="Times New Roman"/>
                <w:sz w:val="18"/>
              </w:rPr>
              <w:t>0.916</w:t>
            </w:r>
          </w:p>
        </w:tc>
        <w:tc>
          <w:tcPr>
            <w:tcW w:type="dxa" w:w="1234"/>
            <w:vAlign w:val="center"/>
          </w:tcPr>
          <w:p>
            <w:pPr>
              <w:jc w:val="left"/>
            </w:pPr>
            <w:r>
              <w:rPr>
                <w:rFonts w:ascii="Times New Roman" w:hAnsi="Times New Roman"/>
                <w:sz w:val="18"/>
              </w:rPr>
              <w:t>0.958</w:t>
            </w:r>
          </w:p>
        </w:tc>
        <w:tc>
          <w:tcPr>
            <w:tcW w:type="dxa" w:w="1234"/>
            <w:vAlign w:val="center"/>
          </w:tcPr>
          <w:p>
            <w:pPr>
              <w:jc w:val="left"/>
            </w:pPr>
            <w:r>
              <w:rPr>
                <w:rFonts w:ascii="Times New Roman" w:hAnsi="Times New Roman"/>
                <w:sz w:val="18"/>
              </w:rPr>
              <w:t>0.956</w:t>
            </w:r>
          </w:p>
        </w:tc>
        <w:tc>
          <w:tcPr>
            <w:tcW w:type="dxa" w:w="1234"/>
            <w:vAlign w:val="center"/>
          </w:tcPr>
          <w:p>
            <w:pPr>
              <w:jc w:val="left"/>
            </w:pPr>
            <w:r>
              <w:rPr>
                <w:rFonts w:ascii="Times New Roman" w:hAnsi="Times New Roman"/>
                <w:sz w:val="18"/>
              </w:rPr>
              <w:t>1.055</w:t>
            </w:r>
          </w:p>
        </w:tc>
        <w:tc>
          <w:tcPr>
            <w:tcW w:type="dxa" w:w="1234"/>
            <w:vAlign w:val="center"/>
          </w:tcPr>
          <w:p>
            <w:pPr>
              <w:jc w:val="left"/>
            </w:pPr>
            <w:r>
              <w:rPr>
                <w:rFonts w:ascii="Times New Roman" w:hAnsi="Times New Roman"/>
                <w:sz w:val="18"/>
              </w:rPr>
              <w:t>1.324</w:t>
            </w:r>
          </w:p>
        </w:tc>
        <w:tc>
          <w:tcPr>
            <w:tcW w:type="dxa" w:w="1234"/>
            <w:vAlign w:val="center"/>
          </w:tcPr>
          <w:p>
            <w:pPr>
              <w:jc w:val="left"/>
            </w:pPr>
            <w:r>
              <w:rPr>
                <w:rFonts w:ascii="Times New Roman" w:hAnsi="Times New Roman"/>
                <w:sz w:val="18"/>
              </w:rPr>
              <w:t>1.179</w:t>
            </w:r>
          </w:p>
        </w:tc>
      </w:tr>
      <w:tr>
        <w:tc>
          <w:tcPr>
            <w:tcW w:type="dxa" w:w="1234"/>
            <w:vAlign w:val="center"/>
          </w:tcPr>
          <w:p>
            <w:pPr>
              <w:jc w:val="left"/>
            </w:pPr>
            <w:r>
              <w:rPr>
                <w:rFonts w:ascii="Times New Roman" w:hAnsi="Times New Roman"/>
                <w:sz w:val="18"/>
              </w:rPr>
              <w:t>20</w:t>
            </w:r>
          </w:p>
        </w:tc>
        <w:tc>
          <w:tcPr>
            <w:tcW w:type="dxa" w:w="1234"/>
            <w:vAlign w:val="center"/>
          </w:tcPr>
          <w:p>
            <w:pPr>
              <w:jc w:val="left"/>
            </w:pPr>
            <w:r>
              <w:rPr>
                <w:rFonts w:ascii="Times New Roman" w:hAnsi="Times New Roman"/>
                <w:sz w:val="18"/>
              </w:rPr>
              <w:t>0.942</w:t>
            </w:r>
          </w:p>
        </w:tc>
        <w:tc>
          <w:tcPr>
            <w:tcW w:type="dxa" w:w="1234"/>
            <w:vAlign w:val="center"/>
          </w:tcPr>
          <w:p>
            <w:pPr>
              <w:jc w:val="left"/>
            </w:pPr>
            <w:r>
              <w:rPr>
                <w:rFonts w:ascii="Times New Roman" w:hAnsi="Times New Roman"/>
                <w:sz w:val="18"/>
              </w:rPr>
              <w:t>0.966</w:t>
            </w:r>
          </w:p>
        </w:tc>
        <w:tc>
          <w:tcPr>
            <w:tcW w:type="dxa" w:w="1234"/>
            <w:vAlign w:val="center"/>
          </w:tcPr>
          <w:p>
            <w:pPr>
              <w:jc w:val="left"/>
            </w:pPr>
            <w:r>
              <w:rPr>
                <w:rFonts w:ascii="Times New Roman" w:hAnsi="Times New Roman"/>
                <w:sz w:val="18"/>
              </w:rPr>
              <w:t>0.960</w:t>
            </w:r>
          </w:p>
        </w:tc>
        <w:tc>
          <w:tcPr>
            <w:tcW w:type="dxa" w:w="1234"/>
            <w:vAlign w:val="center"/>
          </w:tcPr>
          <w:p>
            <w:pPr>
              <w:jc w:val="left"/>
            </w:pPr>
            <w:r>
              <w:rPr>
                <w:rFonts w:ascii="Times New Roman" w:hAnsi="Times New Roman"/>
                <w:sz w:val="18"/>
              </w:rPr>
              <w:t>0.777</w:t>
            </w:r>
          </w:p>
        </w:tc>
        <w:tc>
          <w:tcPr>
            <w:tcW w:type="dxa" w:w="1234"/>
            <w:vAlign w:val="center"/>
          </w:tcPr>
          <w:p>
            <w:pPr>
              <w:jc w:val="left"/>
            </w:pPr>
            <w:r>
              <w:rPr>
                <w:rFonts w:ascii="Times New Roman" w:hAnsi="Times New Roman"/>
                <w:sz w:val="18"/>
              </w:rPr>
              <w:t>0.873</w:t>
            </w:r>
          </w:p>
        </w:tc>
        <w:tc>
          <w:tcPr>
            <w:tcW w:type="dxa" w:w="1234"/>
            <w:vAlign w:val="center"/>
          </w:tcPr>
          <w:p>
            <w:pPr>
              <w:jc w:val="left"/>
            </w:pPr>
            <w:r>
              <w:rPr>
                <w:rFonts w:ascii="Times New Roman" w:hAnsi="Times New Roman"/>
                <w:sz w:val="18"/>
              </w:rPr>
              <w:t>0.833</w:t>
            </w:r>
          </w:p>
        </w:tc>
      </w:tr>
    </w:tbl>
    <w:p>
      <w:pPr>
        <w:spacing w:after="120"/>
        <w:jc w:val="both"/>
      </w:pPr>
      <w:r>
        <w:t>With four subjects in this high-correlation slice, cluster coverage is 0.774 and average width 1.452. The t interval has coverage 0.952 and width 2.818; the oracle has coverage 0.948 and width 1.864. Wider uncertainty under a defensible distributional assumption is not an algorithmic failure merely because a narrow interval appears more useful. With five subjects, observed t coverage is 0.932 rather than 0.95, and that negative deviation remains in the table. At ten subjects the three coverages are 0.916, 0.958 and 0.956; at twenty they are 0.942, 0.966 and 0.960. The construction provides an analytic reason to expect nominal t coverage over repeated sampling, but 500 panels do not force every realized proportion to equal that nominal value.</w:t>
      </w:r>
    </w:p>
    <w:p>
      <w:pPr>
        <w:spacing w:after="120"/>
        <w:jc w:val="both"/>
      </w:pPr>
      <w:r>
        <w:t>The interpretation is narrow. An approximate cluster percentile interval can under-cover with few independent normal subjects, even when the grouping is correct. An established t interval addresses that approximation under the normal independent-mean assumption, while its broader validity in actual compositional, heavy-tailed, unequally sampled or model-fitted microbiome errors remains untested. The oracle illustrates the variance information problem rather than solving it. This is not a new uncertainty method, a clinically calibrated score, a distribution-free guarantee, a study-design power recommendation or a biological discovery. It cannot retrofit the archived mouse comparisons into independent replication.</w:t>
      </w:r>
    </w:p>
    <w:p>
      <w:pPr>
        <w:spacing w:after="120"/>
        <w:jc w:val="both"/>
      </w:pPr>
      <w:r>
        <w:t>The separate run completed 12,000 panels and 36,000 intervals in 4.688 seconds inside the same single-thread 120-second and 256-megabyte limits. Its protocol and executable code were committed before these outcomes. The first 72-cell artifact is unchanged. All 24 follow-up cells are in results/hierarchical_reference_20261007.json; protocol results/PREREG_20261007_hierarchical_reference.md and script scripts/hierarchical_reference.py define the assumptions and formulas. The recorded useful_win=False keeps this established-method reference separate from the requested biological benchmark and discovery gates. Future real-data uncertainty work would have to justify the subject-error distribution or evaluate suitable alternatives prospectively, rather than choose the interval that makes an already viewed result significant.</w:t>
      </w:r>
    </w:p>
    <w:p>
      <w:pPr>
        <w:pStyle w:val="Heading1"/>
      </w:pPr>
      <w:r>
        <w:t>A larger resistant-starch deposit does not yet pass cohort admission</w:t>
      </w:r>
    </w:p>
    <w:p>
      <w:pPr>
        <w:spacing w:after="120"/>
        <w:jc w:val="both"/>
      </w:pPr>
      <w:r>
        <w:t>The measured yogurt/oats result motivates a larger human intervention source, but changing the diet and assay changes the scientific task. We inspected the primary resistant-starch reports by Baxter and colleagues (mBio 2019, https://journals.asm.org/doi/10.1128/mbio.02566-18) and Venkataraman and colleagues (Microbiome 2016, https://pmc.ncbi.nlm.nih.gov/articles/PMC4928258/). The published effect descriptions were visible during source discovery; neither source is an untouched outcome holdout. Baxter reports 174 young adults sampled across four University of Michigan academic semesters, with resistant potato starch, resistant maize starch, inulin or accessible-starch control groups. Participants continued their habitual diets. Three or four stools were collected before supplementation and three or four in the full-dose third week, separated by an unsampled 4-7 day dose transition. This parallel supplement design is not a replication of the yogurt crossover horizon, and its principal acetate, propionate and butyrate measurements plus a total are not eight independent chemical outcomes.</w:t>
      </w:r>
    </w:p>
    <w:p>
      <w:pPr>
        <w:spacing w:after="120"/>
        <w:jc w:val="both"/>
      </w:pPr>
      <w:r>
        <w:t>The public deposit is linked explicitly in the publication as SRP128128, including SCFA metadata. Live ENA accession inventory maps it to PRJNA428736, with 1,205 sequencing runs and 1,201 distinct samples. Before inspecting schemas we froze a metadata-only admission protocol, then a bounded three-specimen spotcheck chosen by sorted accession rather than phenotype. The official ENA/INSDC policy permits unrestricted access, analysis and publication of public records with original-submission credit (https://www.ebi.ac.uk/ena/browser/about/policies). That policy supplies a public-record research route, not a license for unrelated author files or commercial clearance. No participant-level rows are redistributed by this work. The XML response inevitably contains deposited chemical values, but this admission process discards them and retains only aggregate presence and finite-numeric parseability flags. It does not evaluate effect sizes, prognosis or forecast error.</w:t>
      </w:r>
    </w:p>
    <w:p>
      <w:pPr>
        <w:spacing w:after="120"/>
        <w:jc w:val="both"/>
      </w:pPr>
      <w:r>
        <w:t>A separately frozen full census made one bounded request. The initial project-browser endpoint returned a 1,968-byte PROJECT record rather than linked sample records; this was an endpoint-selection error, not an empty cohort. We retained that failure and made no automatic retry. After consulting official advanced-search documentation, a separately approved corrected request to the sample-search endpoint returned 6,123,886 bytes in 37.854 seconds, inside the 20-megabyte and 60-second limits. Both SAMPLE-element count and unique sample-accession count were asserted against the prior 1,201-sample inventory before any census metrics were reported. The corrected export had no duplicate sample accessions. Raw XML remained in process memory and was not saved; subject labels were used only for within-process grouping and were excluded from aggregate output.</w:t>
      </w:r>
    </w:p>
    <w:p>
      <w:pPr>
        <w:keepNext/>
      </w:pPr>
      <w:r>
        <w:rPr>
          <w:b/>
        </w:rPr>
        <w:t>Table 25. Outcome-free resistant-starch census; specimen, subject-key and published-participant counts are different evidence layers.</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Evidence layer</w:t>
            </w:r>
          </w:p>
        </w:tc>
        <w:tc>
          <w:tcPr>
            <w:tcW w:type="dxa" w:w="2880"/>
            <w:vAlign w:val="center"/>
          </w:tcPr>
          <w:p>
            <w:pPr>
              <w:jc w:val="left"/>
            </w:pPr>
            <w:r>
              <w:rPr>
                <w:rFonts w:ascii="Times New Roman" w:hAnsi="Times New Roman"/>
                <w:sz w:val="18"/>
              </w:rPr>
              <w:t>Observed aggregate</w:t>
            </w:r>
          </w:p>
        </w:tc>
        <w:tc>
          <w:tcPr>
            <w:tcW w:type="dxa" w:w="2880"/>
            <w:vAlign w:val="center"/>
          </w:tcPr>
          <w:p>
            <w:pPr>
              <w:jc w:val="left"/>
            </w:pPr>
            <w:r>
              <w:rPr>
                <w:rFonts w:ascii="Times New Roman" w:hAnsi="Times New Roman"/>
                <w:sz w:val="18"/>
              </w:rPr>
              <w:t>What it does not establish</w:t>
            </w:r>
          </w:p>
        </w:tc>
      </w:tr>
      <w:tr>
        <w:tc>
          <w:tcPr>
            <w:tcW w:type="dxa" w:w="2880"/>
            <w:vAlign w:val="center"/>
          </w:tcPr>
          <w:p>
            <w:pPr>
              <w:jc w:val="left"/>
            </w:pPr>
            <w:r>
              <w:rPr>
                <w:rFonts w:ascii="Times New Roman" w:hAnsi="Times New Roman"/>
                <w:sz w:val="18"/>
              </w:rPr>
              <w:t>Public sample inventory</w:t>
            </w:r>
          </w:p>
        </w:tc>
        <w:tc>
          <w:tcPr>
            <w:tcW w:type="dxa" w:w="2880"/>
            <w:vAlign w:val="center"/>
          </w:tcPr>
          <w:p>
            <w:pPr>
              <w:jc w:val="left"/>
            </w:pPr>
            <w:r>
              <w:rPr>
                <w:rFonts w:ascii="Times New Roman" w:hAnsi="Times New Roman"/>
                <w:sz w:val="18"/>
              </w:rPr>
              <w:t>1,201 samples / 1,205 runs</w:t>
            </w:r>
          </w:p>
        </w:tc>
        <w:tc>
          <w:tcPr>
            <w:tcW w:type="dxa" w:w="2880"/>
            <w:vAlign w:val="center"/>
          </w:tcPr>
          <w:p>
            <w:pPr>
              <w:jc w:val="left"/>
            </w:pPr>
            <w:r>
              <w:rPr>
                <w:rFonts w:ascii="Times New Roman" w:hAnsi="Times New Roman"/>
                <w:sz w:val="18"/>
              </w:rPr>
              <w:t>Independent subjects or assay eligibility</w:t>
            </w:r>
          </w:p>
        </w:tc>
      </w:tr>
      <w:tr>
        <w:tc>
          <w:tcPr>
            <w:tcW w:type="dxa" w:w="2880"/>
            <w:vAlign w:val="center"/>
          </w:tcPr>
          <w:p>
            <w:pPr>
              <w:jc w:val="left"/>
            </w:pPr>
            <w:r>
              <w:rPr>
                <w:rFonts w:ascii="Times New Roman" w:hAnsi="Times New Roman"/>
                <w:sz w:val="18"/>
              </w:rPr>
              <w:t>Source subject keys</w:t>
            </w:r>
          </w:p>
        </w:tc>
        <w:tc>
          <w:tcPr>
            <w:tcW w:type="dxa" w:w="2880"/>
            <w:vAlign w:val="center"/>
          </w:tcPr>
          <w:p>
            <w:pPr>
              <w:jc w:val="left"/>
            </w:pPr>
            <w:r>
              <w:rPr>
                <w:rFonts w:ascii="Times New Roman" w:hAnsi="Times New Roman"/>
                <w:sz w:val="18"/>
              </w:rPr>
              <w:t>175, with both phases represented</w:t>
            </w:r>
          </w:p>
        </w:tc>
        <w:tc>
          <w:tcPr>
            <w:tcW w:type="dxa" w:w="2880"/>
            <w:vAlign w:val="center"/>
          </w:tcPr>
          <w:p>
            <w:pPr>
              <w:jc w:val="left"/>
            </w:pPr>
            <w:r>
              <w:rPr>
                <w:rFonts w:ascii="Times New Roman" w:hAnsi="Times New Roman"/>
                <w:sz w:val="18"/>
              </w:rPr>
              <w:t>Publication population of 174</w:t>
            </w:r>
          </w:p>
        </w:tc>
      </w:tr>
      <w:tr>
        <w:tc>
          <w:tcPr>
            <w:tcW w:type="dxa" w:w="2880"/>
            <w:vAlign w:val="center"/>
          </w:tcPr>
          <w:p>
            <w:pPr>
              <w:jc w:val="left"/>
            </w:pPr>
            <w:r>
              <w:rPr>
                <w:rFonts w:ascii="Times New Roman" w:hAnsi="Times New Roman"/>
                <w:sz w:val="18"/>
              </w:rPr>
              <w:t>At least 3 specimens in each phase</w:t>
            </w:r>
          </w:p>
        </w:tc>
        <w:tc>
          <w:tcPr>
            <w:tcW w:type="dxa" w:w="2880"/>
            <w:vAlign w:val="center"/>
          </w:tcPr>
          <w:p>
            <w:pPr>
              <w:jc w:val="left"/>
            </w:pPr>
            <w:r>
              <w:rPr>
                <w:rFonts w:ascii="Times New Roman" w:hAnsi="Times New Roman"/>
                <w:sz w:val="18"/>
              </w:rPr>
              <w:t>143 subject keys</w:t>
            </w:r>
          </w:p>
        </w:tc>
        <w:tc>
          <w:tcPr>
            <w:tcW w:type="dxa" w:w="2880"/>
            <w:vAlign w:val="center"/>
          </w:tcPr>
          <w:p>
            <w:pPr>
              <w:jc w:val="left"/>
            </w:pPr>
            <w:r>
              <w:rPr>
                <w:rFonts w:ascii="Times New Roman" w:hAnsi="Times New Roman"/>
                <w:sz w:val="18"/>
              </w:rPr>
              <w:t>3 valid measurements for each analyte</w:t>
            </w:r>
          </w:p>
        </w:tc>
      </w:tr>
      <w:tr>
        <w:tc>
          <w:tcPr>
            <w:tcW w:type="dxa" w:w="2880"/>
            <w:vAlign w:val="center"/>
          </w:tcPr>
          <w:p>
            <w:pPr>
              <w:jc w:val="left"/>
            </w:pPr>
            <w:r>
              <w:rPr>
                <w:rFonts w:ascii="Times New Roman" w:hAnsi="Times New Roman"/>
                <w:sz w:val="18"/>
              </w:rPr>
              <w:t>Phase metadata</w:t>
            </w:r>
          </w:p>
        </w:tc>
        <w:tc>
          <w:tcPr>
            <w:tcW w:type="dxa" w:w="2880"/>
            <w:vAlign w:val="center"/>
          </w:tcPr>
          <w:p>
            <w:pPr>
              <w:jc w:val="left"/>
            </w:pPr>
            <w:r>
              <w:rPr>
                <w:rFonts w:ascii="Times New Roman" w:hAnsi="Times New Roman"/>
                <w:sz w:val="18"/>
              </w:rPr>
              <w:t>601 before / 600 during</w:t>
            </w:r>
          </w:p>
        </w:tc>
        <w:tc>
          <w:tcPr>
            <w:tcW w:type="dxa" w:w="2880"/>
            <w:vAlign w:val="center"/>
          </w:tcPr>
          <w:p>
            <w:pPr>
              <w:jc w:val="left"/>
            </w:pPr>
            <w:r>
              <w:rPr>
                <w:rFonts w:ascii="Times New Roman" w:hAnsi="Times New Roman"/>
                <w:sz w:val="18"/>
              </w:rPr>
              <w:t>Exact causal treatment horizon</w:t>
            </w:r>
          </w:p>
        </w:tc>
      </w:tr>
      <w:tr>
        <w:tc>
          <w:tcPr>
            <w:tcW w:type="dxa" w:w="2880"/>
            <w:vAlign w:val="center"/>
          </w:tcPr>
          <w:p>
            <w:pPr>
              <w:jc w:val="left"/>
            </w:pPr>
            <w:r>
              <w:rPr>
                <w:rFonts w:ascii="Times New Roman" w:hAnsi="Times New Roman"/>
                <w:sz w:val="18"/>
              </w:rPr>
              <w:t>Within-subject arm or semester conflict</w:t>
            </w:r>
          </w:p>
        </w:tc>
        <w:tc>
          <w:tcPr>
            <w:tcW w:type="dxa" w:w="2880"/>
            <w:vAlign w:val="center"/>
          </w:tcPr>
          <w:p>
            <w:pPr>
              <w:jc w:val="left"/>
            </w:pPr>
            <w:r>
              <w:rPr>
                <w:rFonts w:ascii="Times New Roman" w:hAnsi="Times New Roman"/>
                <w:sz w:val="18"/>
              </w:rPr>
              <w:t>0 / 0</w:t>
            </w:r>
          </w:p>
        </w:tc>
        <w:tc>
          <w:tcPr>
            <w:tcW w:type="dxa" w:w="2880"/>
            <w:vAlign w:val="center"/>
          </w:tcPr>
          <w:p>
            <w:pPr>
              <w:jc w:val="left"/>
            </w:pPr>
            <w:r>
              <w:rPr>
                <w:rFonts w:ascii="Times New Roman" w:hAnsi="Times New Roman"/>
                <w:sz w:val="18"/>
              </w:rPr>
              <w:t>Independent recruitment across papers</w:t>
            </w:r>
          </w:p>
        </w:tc>
      </w:tr>
      <w:tr>
        <w:tc>
          <w:tcPr>
            <w:tcW w:type="dxa" w:w="2880"/>
            <w:vAlign w:val="center"/>
          </w:tcPr>
          <w:p>
            <w:pPr>
              <w:jc w:val="left"/>
            </w:pPr>
            <w:r>
              <w:rPr>
                <w:rFonts w:ascii="Times New Roman" w:hAnsi="Times New Roman"/>
                <w:sz w:val="18"/>
              </w:rPr>
              <w:t>Missing required metadata fields</w:t>
            </w:r>
          </w:p>
        </w:tc>
        <w:tc>
          <w:tcPr>
            <w:tcW w:type="dxa" w:w="2880"/>
            <w:vAlign w:val="center"/>
          </w:tcPr>
          <w:p>
            <w:pPr>
              <w:jc w:val="left"/>
            </w:pPr>
            <w:r>
              <w:rPr>
                <w:rFonts w:ascii="Times New Roman" w:hAnsi="Times New Roman"/>
                <w:sz w:val="18"/>
              </w:rPr>
              <w:t>0</w:t>
            </w:r>
          </w:p>
        </w:tc>
        <w:tc>
          <w:tcPr>
            <w:tcW w:type="dxa" w:w="2880"/>
            <w:vAlign w:val="center"/>
          </w:tcPr>
          <w:p>
            <w:pPr>
              <w:jc w:val="left"/>
            </w:pPr>
            <w:r>
              <w:rPr>
                <w:rFonts w:ascii="Times New Roman" w:hAnsi="Times New Roman"/>
                <w:sz w:val="18"/>
              </w:rPr>
              <w:t>Complete numerical chemical panel</w:t>
            </w:r>
          </w:p>
        </w:tc>
      </w:tr>
    </w:tbl>
    <w:p>
      <w:pPr>
        <w:spacing w:after="120"/>
        <w:jc w:val="both"/>
      </w:pPr>
      <w:r>
        <w:t>The census contains four nonempty arm labels and four semester labels spanning 2015-2017. Every subject key has at least one specimen in each phase, and no key crosses an arm or semester. This structural completeness is useful for building a future paired design, but it does not reconcile the deposit with the publication. A literal minimum-three-specimens-per-phase count yields 143 keys, whereas the report describes 174 analyzed participants and exclusion for fewer than three samples collected or successfully analyzed before or during supplementation. Possible assay-specific coverage, sequencing exclusions, key semantics or differences between public and analyzed samples are explanations to investigate, not facts established here. We do not delete one of the 175 keys, relax the specimen minimum, or reinterpret missingness to reproduce a preferred participant count.</w:t>
      </w:r>
    </w:p>
    <w:p>
      <w:pPr>
        <w:keepNext/>
      </w:pPr>
      <w:r>
        <w:rPr>
          <w:b/>
        </w:rPr>
        <w:t>Table 26. Presence and parser acceptance, not concentrations or biological differences. Non-finite or non-numeric entries are not assigned a scientific meaning by this audit.</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keepNext/>
              <w:keepLines/>
              <w:jc w:val="left"/>
            </w:pPr>
            <w:r>
              <w:rPr>
                <w:rFonts w:ascii="Times New Roman" w:hAnsi="Times New Roman"/>
                <w:sz w:val="18"/>
              </w:rPr>
              <w:t>Attribute</w:t>
            </w:r>
          </w:p>
        </w:tc>
        <w:tc>
          <w:tcPr>
            <w:tcW w:type="dxa" w:w="2160"/>
            <w:vAlign w:val="center"/>
          </w:tcPr>
          <w:p>
            <w:pPr>
              <w:keepNext/>
              <w:keepLines/>
              <w:jc w:val="left"/>
            </w:pPr>
            <w:r>
              <w:rPr>
                <w:rFonts w:ascii="Times New Roman" w:hAnsi="Times New Roman"/>
                <w:sz w:val="18"/>
              </w:rPr>
              <w:t>Present specimens</w:t>
            </w:r>
          </w:p>
        </w:tc>
        <w:tc>
          <w:tcPr>
            <w:tcW w:type="dxa" w:w="2160"/>
            <w:vAlign w:val="center"/>
          </w:tcPr>
          <w:p>
            <w:pPr>
              <w:keepNext/>
              <w:keepLines/>
              <w:jc w:val="left"/>
            </w:pPr>
            <w:r>
              <w:rPr>
                <w:rFonts w:ascii="Times New Roman" w:hAnsi="Times New Roman"/>
                <w:sz w:val="18"/>
              </w:rPr>
              <w:t>Finite numeric parseability</w:t>
            </w:r>
          </w:p>
        </w:tc>
        <w:tc>
          <w:tcPr>
            <w:tcW w:type="dxa" w:w="2160"/>
            <w:vAlign w:val="center"/>
          </w:tcPr>
          <w:p>
            <w:pPr>
              <w:keepNext/>
              <w:keepLines/>
              <w:jc w:val="left"/>
            </w:pPr>
            <w:r>
              <w:rPr>
                <w:rFonts w:ascii="Times New Roman" w:hAnsi="Times New Roman"/>
                <w:sz w:val="18"/>
              </w:rPr>
              <w:t>Not counted as finite</w:t>
            </w:r>
          </w:p>
        </w:tc>
      </w:tr>
      <w:tr>
        <w:tc>
          <w:tcPr>
            <w:tcW w:type="dxa" w:w="2160"/>
            <w:vAlign w:val="center"/>
          </w:tcPr>
          <w:p>
            <w:pPr>
              <w:keepNext/>
              <w:keepLines/>
              <w:jc w:val="left"/>
            </w:pPr>
            <w:r>
              <w:rPr>
                <w:rFonts w:ascii="Times New Roman" w:hAnsi="Times New Roman"/>
                <w:sz w:val="18"/>
              </w:rPr>
              <w:t>acetate</w:t>
            </w:r>
          </w:p>
        </w:tc>
        <w:tc>
          <w:tcPr>
            <w:tcW w:type="dxa" w:w="2160"/>
            <w:vAlign w:val="center"/>
          </w:tcPr>
          <w:p>
            <w:pPr>
              <w:keepNext/>
              <w:keepLines/>
              <w:jc w:val="left"/>
            </w:pPr>
            <w:r>
              <w:rPr>
                <w:rFonts w:ascii="Times New Roman" w:hAnsi="Times New Roman"/>
                <w:sz w:val="18"/>
              </w:rPr>
              <w:t>1201</w:t>
            </w:r>
          </w:p>
        </w:tc>
        <w:tc>
          <w:tcPr>
            <w:tcW w:type="dxa" w:w="2160"/>
            <w:vAlign w:val="center"/>
          </w:tcPr>
          <w:p>
            <w:pPr>
              <w:keepNext/>
              <w:keepLines/>
              <w:jc w:val="left"/>
            </w:pPr>
            <w:r>
              <w:rPr>
                <w:rFonts w:ascii="Times New Roman" w:hAnsi="Times New Roman"/>
                <w:sz w:val="18"/>
              </w:rPr>
              <w:t>1188</w:t>
            </w:r>
          </w:p>
        </w:tc>
        <w:tc>
          <w:tcPr>
            <w:tcW w:type="dxa" w:w="2160"/>
            <w:vAlign w:val="center"/>
          </w:tcPr>
          <w:p>
            <w:pPr>
              <w:keepNext/>
              <w:keepLines/>
              <w:jc w:val="left"/>
            </w:pPr>
            <w:r>
              <w:rPr>
                <w:rFonts w:ascii="Times New Roman" w:hAnsi="Times New Roman"/>
                <w:sz w:val="18"/>
              </w:rPr>
              <w:t>13</w:t>
            </w:r>
          </w:p>
        </w:tc>
      </w:tr>
      <w:tr>
        <w:tc>
          <w:tcPr>
            <w:tcW w:type="dxa" w:w="2160"/>
            <w:vAlign w:val="center"/>
          </w:tcPr>
          <w:p>
            <w:pPr>
              <w:keepNext/>
              <w:keepLines/>
              <w:jc w:val="left"/>
            </w:pPr>
            <w:r>
              <w:rPr>
                <w:rFonts w:ascii="Times New Roman" w:hAnsi="Times New Roman"/>
                <w:sz w:val="18"/>
              </w:rPr>
              <w:t>propionate</w:t>
            </w:r>
          </w:p>
        </w:tc>
        <w:tc>
          <w:tcPr>
            <w:tcW w:type="dxa" w:w="2160"/>
            <w:vAlign w:val="center"/>
          </w:tcPr>
          <w:p>
            <w:pPr>
              <w:keepNext/>
              <w:keepLines/>
              <w:jc w:val="left"/>
            </w:pPr>
            <w:r>
              <w:rPr>
                <w:rFonts w:ascii="Times New Roman" w:hAnsi="Times New Roman"/>
                <w:sz w:val="18"/>
              </w:rPr>
              <w:t>1201</w:t>
            </w:r>
          </w:p>
        </w:tc>
        <w:tc>
          <w:tcPr>
            <w:tcW w:type="dxa" w:w="2160"/>
            <w:vAlign w:val="center"/>
          </w:tcPr>
          <w:p>
            <w:pPr>
              <w:keepNext/>
              <w:keepLines/>
              <w:jc w:val="left"/>
            </w:pPr>
            <w:r>
              <w:rPr>
                <w:rFonts w:ascii="Times New Roman" w:hAnsi="Times New Roman"/>
                <w:sz w:val="18"/>
              </w:rPr>
              <w:t>1058</w:t>
            </w:r>
          </w:p>
        </w:tc>
        <w:tc>
          <w:tcPr>
            <w:tcW w:type="dxa" w:w="2160"/>
            <w:vAlign w:val="center"/>
          </w:tcPr>
          <w:p>
            <w:pPr>
              <w:keepNext/>
              <w:keepLines/>
              <w:jc w:val="left"/>
            </w:pPr>
            <w:r>
              <w:rPr>
                <w:rFonts w:ascii="Times New Roman" w:hAnsi="Times New Roman"/>
                <w:sz w:val="18"/>
              </w:rPr>
              <w:t>143</w:t>
            </w:r>
          </w:p>
        </w:tc>
      </w:tr>
      <w:tr>
        <w:tc>
          <w:tcPr>
            <w:tcW w:type="dxa" w:w="2160"/>
            <w:vAlign w:val="center"/>
          </w:tcPr>
          <w:p>
            <w:pPr>
              <w:keepNext/>
              <w:keepLines/>
              <w:jc w:val="left"/>
            </w:pPr>
            <w:r>
              <w:rPr>
                <w:rFonts w:ascii="Times New Roman" w:hAnsi="Times New Roman"/>
                <w:sz w:val="18"/>
              </w:rPr>
              <w:t>butyrate</w:t>
            </w:r>
          </w:p>
        </w:tc>
        <w:tc>
          <w:tcPr>
            <w:tcW w:type="dxa" w:w="2160"/>
            <w:vAlign w:val="center"/>
          </w:tcPr>
          <w:p>
            <w:pPr>
              <w:keepNext/>
              <w:keepLines/>
              <w:jc w:val="left"/>
            </w:pPr>
            <w:r>
              <w:rPr>
                <w:rFonts w:ascii="Times New Roman" w:hAnsi="Times New Roman"/>
                <w:sz w:val="18"/>
              </w:rPr>
              <w:t>1201</w:t>
            </w:r>
          </w:p>
        </w:tc>
        <w:tc>
          <w:tcPr>
            <w:tcW w:type="dxa" w:w="2160"/>
            <w:vAlign w:val="center"/>
          </w:tcPr>
          <w:p>
            <w:pPr>
              <w:keepNext/>
              <w:keepLines/>
              <w:jc w:val="left"/>
            </w:pPr>
            <w:r>
              <w:rPr>
                <w:rFonts w:ascii="Times New Roman" w:hAnsi="Times New Roman"/>
                <w:sz w:val="18"/>
              </w:rPr>
              <w:t>1167</w:t>
            </w:r>
          </w:p>
        </w:tc>
        <w:tc>
          <w:tcPr>
            <w:tcW w:type="dxa" w:w="2160"/>
            <w:vAlign w:val="center"/>
          </w:tcPr>
          <w:p>
            <w:pPr>
              <w:keepNext/>
              <w:keepLines/>
              <w:jc w:val="left"/>
            </w:pPr>
            <w:r>
              <w:rPr>
                <w:rFonts w:ascii="Times New Roman" w:hAnsi="Times New Roman"/>
                <w:sz w:val="18"/>
              </w:rPr>
              <w:t>34</w:t>
            </w:r>
          </w:p>
        </w:tc>
      </w:tr>
      <w:tr>
        <w:tc>
          <w:tcPr>
            <w:tcW w:type="dxa" w:w="2160"/>
            <w:vAlign w:val="center"/>
          </w:tcPr>
          <w:p>
            <w:pPr>
              <w:jc w:val="left"/>
            </w:pPr>
            <w:r>
              <w:rPr>
                <w:rFonts w:ascii="Times New Roman" w:hAnsi="Times New Roman"/>
                <w:sz w:val="18"/>
              </w:rPr>
              <w:t>total SCFA</w:t>
            </w:r>
          </w:p>
        </w:tc>
        <w:tc>
          <w:tcPr>
            <w:tcW w:type="dxa" w:w="2160"/>
            <w:vAlign w:val="center"/>
          </w:tcPr>
          <w:p>
            <w:pPr>
              <w:jc w:val="left"/>
            </w:pPr>
            <w:r>
              <w:rPr>
                <w:rFonts w:ascii="Times New Roman" w:hAnsi="Times New Roman"/>
                <w:sz w:val="18"/>
              </w:rPr>
              <w:t>1201</w:t>
            </w:r>
          </w:p>
        </w:tc>
        <w:tc>
          <w:tcPr>
            <w:tcW w:type="dxa" w:w="2160"/>
            <w:vAlign w:val="center"/>
          </w:tcPr>
          <w:p>
            <w:pPr>
              <w:jc w:val="left"/>
            </w:pPr>
            <w:r>
              <w:rPr>
                <w:rFonts w:ascii="Times New Roman" w:hAnsi="Times New Roman"/>
                <w:sz w:val="18"/>
              </w:rPr>
              <w:t>1030</w:t>
            </w:r>
          </w:p>
        </w:tc>
        <w:tc>
          <w:tcPr>
            <w:tcW w:type="dxa" w:w="2160"/>
            <w:vAlign w:val="center"/>
          </w:tcPr>
          <w:p>
            <w:pPr>
              <w:jc w:val="left"/>
            </w:pPr>
            <w:r>
              <w:rPr>
                <w:rFonts w:ascii="Times New Roman" w:hAnsi="Times New Roman"/>
                <w:sz w:val="18"/>
              </w:rPr>
              <w:t>171</w:t>
            </w:r>
          </w:p>
        </w:tc>
      </w:tr>
    </w:tbl>
    <w:p>
      <w:pPr>
        <w:spacing w:after="120"/>
        <w:jc w:val="both"/>
      </w:pPr>
      <w:r>
        <w:t>All four chemical attributes appear in every sample record, but numeric coverage differs. An attribute may exist while its value is a missing-assay code, censoring notation, non-finite token or another source-specific representation. The census does not infer which explanation applies and does not impute values. Consequently, a complete sample-to-subject join cannot certify a complete measured panel. Nor can a count of finite values establish comparable calibration. Baxter reports HPLC concentrations normalized to each specimen wet weight, in mmol/kg wet feces. The earlier Venkataraman study uses the average collected fecal mass of 0.67 g for normalization. Combining those concentrations without a measurement contract would silently substitute different calibration assumptions.</w:t>
      </w:r>
    </w:p>
    <w:p>
      <w:pPr>
        <w:spacing w:after="120"/>
        <w:jc w:val="both"/>
      </w:pPr>
      <w:r>
        <w:t>The earlier study provides a second warning about dataset independence. Its accession SRP067761 maps to PRJNA306884, with 157 public samples. First, middle and last accession schemas expose collection dates but no explicit subject, supplement, before/during or SCFA attributes; their collection years are 2015. Both publications recruit from University of Michigan BIO173 and cite HUM00094242. Baxter includes fall-2015 specimens. Distinct accession IDs and publications therefore do not prove distinct recruitment, and calendar years alone do not exclude overlap. We retain one unresolved source family rather than count these as independent laboratories or replications. A future semester-held-out analysis would be a within-source temporal check, even if subjects were disjoint. An independent biological test requires separate source evidence, not a more favorable split label.</w:t>
      </w:r>
    </w:p>
    <w:p>
      <w:pPr>
        <w:pStyle w:val="Heading1"/>
      </w:pPr>
      <w:r>
        <w:t>An analyte-specific panel gate separates presence from admissibility</w:t>
      </w:r>
    </w:p>
    <w:p>
      <w:pPr>
        <w:spacing w:after="120"/>
        <w:jc w:val="both"/>
      </w:pPr>
      <w:r>
        <w:t>The source census motivated an offline platform component rather than an immediate fit. The chemical-panel gate consumes a closed schema: sample identifier, source family, subject identifier, arm, before/during phase, finite numeric collection time and one explicit observed boolean per requested analyte. Raw concentration fields are rejected. A caller must establish the source meaning of missing and sentinel values before converting them to observed flags, and must separately verify units, assay, calibration and rights. This division prevents a generic parser from transforming a string that happens to be numeric into a scientifically valid measurement. Unit verification must be an explicit boolean; an unverified unit produces abstention, even when sufficient observed flags are present.</w:t>
      </w:r>
    </w:p>
    <w:p>
      <w:pPr>
        <w:spacing w:after="120"/>
        <w:jc w:val="both"/>
      </w:pPr>
      <w:r>
        <w:t>The grouping key is source family plus subject, while specimen identity is scoped by source. Identical subject labels in different sources are not merged. Within a source-subject group, conflicting arms block eligibility. Baseline specimens must precede every during-phase specimen; if the last baseline time is at or beyond the first during time, the group is blocked rather than silently sorted into a usable forecast. Duplicate specimen IDs or source-subject-time coordinates are rejected because unresolved technical replicates cannot become extra biological observations. These checks do not infer time units, exposure start dates, washout, or treatment adherence. They operate only on a source-grounded schema supplied by the caller.</w:t>
      </w:r>
    </w:p>
    <w:p>
      <w:pPr>
        <w:spacing w:after="120"/>
        <w:jc w:val="both"/>
      </w:pPr>
      <w:r>
        <w:t>The frozen default requires at least three observed specimens before and during for each analyte. The function reports each analyte eligible-subject count, the number of subjects meeting the rule for every analyte, and a stricter complete-specimen-panel count. These targets differ. A subject may have enough acetate observations and enough butyrate observations on partially different stools, yet not have three stools per phase on which both are measured. The joint analyte count is appropriate for separate analyte summaries only when that interpretation is fixed beforehand. A model needing simultaneous chemical vectors must use the stricter same-specimen panel count or an explicitly justified missing-data design. Neither count authorizes imputation or retrospective selection of whichever panel produces a better score.</w:t>
      </w:r>
    </w:p>
    <w:p>
      <w:pPr>
        <w:spacing w:after="120"/>
        <w:jc w:val="both"/>
      </w:pPr>
      <w:r>
        <w:t>Sixteen new offline fixtures cover complete panels, analyte-specific missingness, the joint-versus-same-specimen distinction, source-key collisions, temporal leakage, arm conflicts, duplicate specimens and times, unsupported phases, raw values, malformed flags and unverified units. Negative fixtures remain part of the contract. Four separate census-parser fixtures check that outcome values and subject identifiers do not enter output, non-finite values are not counted as finite, PROJECT responses cannot become empty-cohort summaries, and duplicate accessions fail reconciliation. The full suite after this unit has 467 passed tests, one skipped test and one existing LightGBM warning. The source endpoint was not called again to test the refactor. This is software reliability evidence, not confirmation of eligibility or a scientific win.</w:t>
      </w:r>
    </w:p>
    <w:p>
      <w:pPr>
        <w:spacing w:after="120"/>
        <w:jc w:val="both"/>
      </w:pPr>
      <w:r>
        <w:t>Implementation and evidence are in src/microtwin/chemical_panel_admission.py, scripts/resistant_starch_metadata_census.py, results/RESISTANT_STARCH_SOURCE_ADMISSION_20261007.md and the associated aggregate census JSON. The function is a library component, not a hosted service or new clinical workflow. Admission remains pending: reconcile the analysis population, establish analyte-specific missingness semantics and calibration, audit exact specimen lineage, then freeze the task and comparisons before reading outcomes for fitting. No raw-read reprocessing, model training, perturbation scoring or larger-cohort power claim was performed. This route adds a concrete biological measurement gate to the platform while leaving the independent benchmark, replicated discovery and useful predictive-win requirements unchanged.</w:t>
      </w:r>
    </w:p>
    <w:p>
      <w:pPr>
        <w:pStyle w:val="Heading1"/>
      </w:pPr>
      <w:r>
        <w:t>Relative composition accuracy does not identify absolute response direction</w:t>
      </w:r>
    </w:p>
    <w:p>
      <w:pPr>
        <w:spacing w:after="120"/>
        <w:jc w:val="both"/>
      </w:pPr>
      <w:r>
        <w:t>The chemical-panel admission contract addresses whether an observed metabolite is usable for a fixed task. A different measurement boundary concerns the taxonomic response itself. Composition accuracy can be high while the absolute direction of a taxon remains unknown. Write its compatible true relative fraction as p and its total community load as T. Absolute abundance is p times T. Between baseline and a later sample, its absolute fold is the relative-fraction fold multiplied by the total-load ratio. This identity does not use fitted interactions, and prediction of a relative fraction does not supply the missing scale. Sequencing-library size is not a substitute for microbial load. A causal intervention forecast requires more evidence still: knowing the absolute direction of an observed change does not identify its cause.</w:t>
      </w:r>
    </w:p>
    <w:p>
      <w:pPr>
        <w:spacing w:after="120"/>
        <w:jc w:val="both"/>
      </w:pPr>
      <w:r>
        <w:t>This limitation is established rather than a new biological discovery. Vandeputte and colleagues describe quantitative microbiome profiling combining amplicon sequencing and flow-cytometric cell enumeration, and explain that relative microbiome profiles alone cannot reveal the extent or direction of absolute changes (Nature 2017, https://www.nature.com/articles/nature24460 ; indexed abstract https://pubmed.ncbi.nlm.nih.gov/29143816/). Their reported load variation motivates measuring scale rather than assuming constancy. Their workflow also distinguishes copy-number-corrected profiles from raw read fractions and notes different biases in cell enumeration and molecular qPCR. We therefore do not treat an amplicon fraction times an arbitrary load estimate as an independently validated cell count. Taxon definition, extraction, measurement material, calibration and load units must first be compatible.</w:t>
      </w:r>
    </w:p>
    <w:p>
      <w:pPr>
        <w:spacing w:after="120"/>
        <w:jc w:val="both"/>
      </w:pPr>
      <w:r>
        <w:t>We implement a narrow feasibility check under declared interval constraints. The true baseline fraction is supplied in a positive interval [bL,bU], the true later fraction in [dL,dU], and the load ratio in [qL,qU]. Fractions must be at most one and all endpoints strictly positive, finite and ordered. The Cartesian-box assumption allows each value to vary independently within its interval. The smallest feasible absolute fold is dL times qL divided by bU; the largest is dU times qU divided by bL. These are interval extrema, not a posterior or a confidence interval. If the measurements have joint constraints, some corners of this box may be impossible, and the caller must supply or justify those dependencies instead of presenting the simple box as exact biology.</w:t>
      </w:r>
    </w:p>
    <w:p>
      <w:pPr>
        <w:jc w:val="center"/>
      </w:pPr>
      <w:r>
        <w:rPr>
          <w:i/>
        </w:rPr>
        <w:t>F_abs = (p_during / p_before) (T_during / T_before);   F_abs in [dL qL / bU, dU qU / bL]</w:t>
      </w:r>
      <w:r>
        <w:tab/>
        <w:tab/>
        <w:t>(16)</w:t>
      </w:r>
    </w:p>
    <w:p>
      <w:pPr>
        <w:spacing w:after="120"/>
        <w:jc w:val="both"/>
      </w:pPr>
      <w:r>
        <w:t>A lower bound strictly above one supports an increase only under the submitted measurement box. An upper bound strictly below one supports a decrease under that box. A lower bound below one and upper bound above one supplies two explicit opposite-direction feasibility witnesses. A bound touching one, or the singleton one, cannot certify a strict sign and returns abstention. Unknown total-load ratio or unverified measurement compatibility also returns abstention. The function rejects zero fractions rather than adding a pseudocount: a below-detection observation needs a detection-limit and measurement-error model before a meaningful fold can be bounded. This strict separation avoids manufacturing an absolute response from an absence code.</w:t>
      </w:r>
    </w:p>
    <w:p>
      <w:pPr>
        <w:keepNext/>
      </w:pPr>
      <w:r>
        <w:rPr>
          <w:b/>
        </w:rPr>
        <w:t>Table 27. Synthetic scale-interval witnesses, not measured taxon responses. The same relative increase can be compatible with both absolute directions when total load is sufficiently uncertain.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keepNext/>
              <w:keepLines/>
              <w:jc w:val="left"/>
            </w:pPr>
            <w:r>
              <w:rPr>
                <w:rFonts w:ascii="Times New Roman" w:hAnsi="Times New Roman"/>
                <w:sz w:val="18"/>
              </w:rPr>
              <w:t>Before fraction</w:t>
            </w:r>
          </w:p>
        </w:tc>
        <w:tc>
          <w:tcPr>
            <w:tcW w:type="dxa" w:w="1728"/>
            <w:vAlign w:val="center"/>
          </w:tcPr>
          <w:p>
            <w:pPr>
              <w:keepNext/>
              <w:keepLines/>
              <w:jc w:val="left"/>
            </w:pPr>
            <w:r>
              <w:rPr>
                <w:rFonts w:ascii="Times New Roman" w:hAnsi="Times New Roman"/>
                <w:sz w:val="18"/>
              </w:rPr>
              <w:t>During fraction</w:t>
            </w:r>
          </w:p>
        </w:tc>
        <w:tc>
          <w:tcPr>
            <w:tcW w:type="dxa" w:w="1728"/>
            <w:vAlign w:val="center"/>
          </w:tcPr>
          <w:p>
            <w:pPr>
              <w:keepNext/>
              <w:keepLines/>
              <w:jc w:val="left"/>
            </w:pPr>
            <w:r>
              <w:rPr>
                <w:rFonts w:ascii="Times New Roman" w:hAnsi="Times New Roman"/>
                <w:sz w:val="18"/>
              </w:rPr>
              <w:t>Load ratio interval</w:t>
            </w:r>
          </w:p>
        </w:tc>
        <w:tc>
          <w:tcPr>
            <w:tcW w:type="dxa" w:w="1728"/>
            <w:vAlign w:val="center"/>
          </w:tcPr>
          <w:p>
            <w:pPr>
              <w:keepNext/>
              <w:keepLines/>
              <w:jc w:val="left"/>
            </w:pPr>
            <w:r>
              <w:rPr>
                <w:rFonts w:ascii="Times New Roman" w:hAnsi="Times New Roman"/>
                <w:sz w:val="18"/>
              </w:rPr>
              <w:t>Absolute fold interval</w:t>
            </w:r>
          </w:p>
        </w:tc>
        <w:tc>
          <w:tcPr>
            <w:tcW w:type="dxa" w:w="1728"/>
            <w:vAlign w:val="center"/>
          </w:tcPr>
          <w:p>
            <w:pPr>
              <w:keepNext/>
              <w:keepLines/>
              <w:jc w:val="left"/>
            </w:pPr>
            <w:r>
              <w:rPr>
                <w:rFonts w:ascii="Times New Roman" w:hAnsi="Times New Roman"/>
                <w:sz w:val="18"/>
              </w:rPr>
              <w:t>Result</w:t>
            </w:r>
          </w:p>
        </w:tc>
      </w:tr>
      <w:tr>
        <w:tc>
          <w:tcPr>
            <w:tcW w:type="dxa" w:w="1728"/>
            <w:vAlign w:val="center"/>
          </w:tcPr>
          <w:p>
            <w:pPr>
              <w:keepNext/>
              <w:keepLines/>
              <w:jc w:val="left"/>
            </w:pPr>
            <w:r>
              <w:rPr>
                <w:rFonts w:ascii="Times New Roman" w:hAnsi="Times New Roman"/>
                <w:sz w:val="18"/>
              </w:rPr>
              <w:t>0.1</w:t>
            </w:r>
          </w:p>
        </w:tc>
        <w:tc>
          <w:tcPr>
            <w:tcW w:type="dxa" w:w="1728"/>
            <w:vAlign w:val="center"/>
          </w:tcPr>
          <w:p>
            <w:pPr>
              <w:keepNext/>
              <w:keepLines/>
              <w:jc w:val="left"/>
            </w:pPr>
            <w:r>
              <w:rPr>
                <w:rFonts w:ascii="Times New Roman" w:hAnsi="Times New Roman"/>
                <w:sz w:val="18"/>
              </w:rPr>
              <w:t>0.2</w:t>
            </w:r>
          </w:p>
        </w:tc>
        <w:tc>
          <w:tcPr>
            <w:tcW w:type="dxa" w:w="1728"/>
            <w:vAlign w:val="center"/>
          </w:tcPr>
          <w:p>
            <w:pPr>
              <w:keepNext/>
              <w:keepLines/>
              <w:jc w:val="left"/>
            </w:pPr>
            <w:r>
              <w:rPr>
                <w:rFonts w:ascii="Times New Roman" w:hAnsi="Times New Roman"/>
                <w:sz w:val="18"/>
              </w:rPr>
              <w:t>[0.25, 4]</w:t>
            </w:r>
          </w:p>
        </w:tc>
        <w:tc>
          <w:tcPr>
            <w:tcW w:type="dxa" w:w="1728"/>
            <w:vAlign w:val="center"/>
          </w:tcPr>
          <w:p>
            <w:pPr>
              <w:keepNext/>
              <w:keepLines/>
              <w:jc w:val="left"/>
            </w:pPr>
            <w:r>
              <w:rPr>
                <w:rFonts w:ascii="Times New Roman" w:hAnsi="Times New Roman"/>
                <w:sz w:val="18"/>
              </w:rPr>
              <w:t>[0.5, 8]</w:t>
            </w:r>
          </w:p>
        </w:tc>
        <w:tc>
          <w:tcPr>
            <w:tcW w:type="dxa" w:w="1728"/>
            <w:vAlign w:val="center"/>
          </w:tcPr>
          <w:p>
            <w:pPr>
              <w:keepNext/>
              <w:keepLines/>
              <w:jc w:val="left"/>
            </w:pPr>
            <w:r>
              <w:rPr>
                <w:rFonts w:ascii="Times New Roman" w:hAnsi="Times New Roman"/>
                <w:sz w:val="18"/>
              </w:rPr>
              <w:t>Opposite directions feasible</w:t>
            </w:r>
          </w:p>
        </w:tc>
      </w:tr>
      <w:tr>
        <w:tc>
          <w:tcPr>
            <w:tcW w:type="dxa" w:w="1728"/>
            <w:vAlign w:val="center"/>
          </w:tcPr>
          <w:p>
            <w:pPr>
              <w:keepNext/>
              <w:keepLines/>
              <w:jc w:val="left"/>
            </w:pPr>
            <w:r>
              <w:rPr>
                <w:rFonts w:ascii="Times New Roman" w:hAnsi="Times New Roman"/>
                <w:sz w:val="18"/>
              </w:rPr>
              <w:t>0.1</w:t>
            </w:r>
          </w:p>
        </w:tc>
        <w:tc>
          <w:tcPr>
            <w:tcW w:type="dxa" w:w="1728"/>
            <w:vAlign w:val="center"/>
          </w:tcPr>
          <w:p>
            <w:pPr>
              <w:keepNext/>
              <w:keepLines/>
              <w:jc w:val="left"/>
            </w:pPr>
            <w:r>
              <w:rPr>
                <w:rFonts w:ascii="Times New Roman" w:hAnsi="Times New Roman"/>
                <w:sz w:val="18"/>
              </w:rPr>
              <w:t>0.2</w:t>
            </w:r>
          </w:p>
        </w:tc>
        <w:tc>
          <w:tcPr>
            <w:tcW w:type="dxa" w:w="1728"/>
            <w:vAlign w:val="center"/>
          </w:tcPr>
          <w:p>
            <w:pPr>
              <w:keepNext/>
              <w:keepLines/>
              <w:jc w:val="left"/>
            </w:pPr>
            <w:r>
              <w:rPr>
                <w:rFonts w:ascii="Times New Roman" w:hAnsi="Times New Roman"/>
                <w:sz w:val="18"/>
              </w:rPr>
              <w:t>[0.9, 1.1]</w:t>
            </w:r>
          </w:p>
        </w:tc>
        <w:tc>
          <w:tcPr>
            <w:tcW w:type="dxa" w:w="1728"/>
            <w:vAlign w:val="center"/>
          </w:tcPr>
          <w:p>
            <w:pPr>
              <w:keepNext/>
              <w:keepLines/>
              <w:jc w:val="left"/>
            </w:pPr>
            <w:r>
              <w:rPr>
                <w:rFonts w:ascii="Times New Roman" w:hAnsi="Times New Roman"/>
                <w:sz w:val="18"/>
              </w:rPr>
              <w:t>[1.8, 2.2]</w:t>
            </w:r>
          </w:p>
        </w:tc>
        <w:tc>
          <w:tcPr>
            <w:tcW w:type="dxa" w:w="1728"/>
            <w:vAlign w:val="center"/>
          </w:tcPr>
          <w:p>
            <w:pPr>
              <w:keepNext/>
              <w:keepLines/>
              <w:jc w:val="left"/>
            </w:pPr>
            <w:r>
              <w:rPr>
                <w:rFonts w:ascii="Times New Roman" w:hAnsi="Times New Roman"/>
                <w:sz w:val="18"/>
              </w:rPr>
              <w:t>Increase under supplied box</w:t>
            </w:r>
          </w:p>
        </w:tc>
      </w:tr>
      <w:tr>
        <w:tc>
          <w:tcPr>
            <w:tcW w:type="dxa" w:w="1728"/>
            <w:vAlign w:val="center"/>
          </w:tcPr>
          <w:p>
            <w:pPr>
              <w:keepNext/>
              <w:keepLines/>
              <w:jc w:val="left"/>
            </w:pPr>
            <w:r>
              <w:rPr>
                <w:rFonts w:ascii="Times New Roman" w:hAnsi="Times New Roman"/>
                <w:sz w:val="18"/>
              </w:rPr>
              <w:t>0.1</w:t>
            </w:r>
          </w:p>
        </w:tc>
        <w:tc>
          <w:tcPr>
            <w:tcW w:type="dxa" w:w="1728"/>
            <w:vAlign w:val="center"/>
          </w:tcPr>
          <w:p>
            <w:pPr>
              <w:keepNext/>
              <w:keepLines/>
              <w:jc w:val="left"/>
            </w:pPr>
            <w:r>
              <w:rPr>
                <w:rFonts w:ascii="Times New Roman" w:hAnsi="Times New Roman"/>
                <w:sz w:val="18"/>
              </w:rPr>
              <w:t>0.2</w:t>
            </w:r>
          </w:p>
        </w:tc>
        <w:tc>
          <w:tcPr>
            <w:tcW w:type="dxa" w:w="1728"/>
            <w:vAlign w:val="center"/>
          </w:tcPr>
          <w:p>
            <w:pPr>
              <w:keepNext/>
              <w:keepLines/>
              <w:jc w:val="left"/>
            </w:pPr>
            <w:r>
              <w:rPr>
                <w:rFonts w:ascii="Times New Roman" w:hAnsi="Times New Roman"/>
                <w:sz w:val="18"/>
              </w:rPr>
              <w:t>[0.5, 1]</w:t>
            </w:r>
          </w:p>
        </w:tc>
        <w:tc>
          <w:tcPr>
            <w:tcW w:type="dxa" w:w="1728"/>
            <w:vAlign w:val="center"/>
          </w:tcPr>
          <w:p>
            <w:pPr>
              <w:keepNext/>
              <w:keepLines/>
              <w:jc w:val="left"/>
            </w:pPr>
            <w:r>
              <w:rPr>
                <w:rFonts w:ascii="Times New Roman" w:hAnsi="Times New Roman"/>
                <w:sz w:val="18"/>
              </w:rPr>
              <w:t>[1, 2]</w:t>
            </w:r>
          </w:p>
        </w:tc>
        <w:tc>
          <w:tcPr>
            <w:tcW w:type="dxa" w:w="1728"/>
            <w:vAlign w:val="center"/>
          </w:tcPr>
          <w:p>
            <w:pPr>
              <w:keepNext/>
              <w:keepLines/>
              <w:jc w:val="left"/>
            </w:pPr>
            <w:r>
              <w:rPr>
                <w:rFonts w:ascii="Times New Roman" w:hAnsi="Times New Roman"/>
                <w:sz w:val="18"/>
              </w:rPr>
              <w:t>Boundary abstention</w:t>
            </w:r>
          </w:p>
        </w:tc>
      </w:tr>
      <w:tr>
        <w:tc>
          <w:tcPr>
            <w:tcW w:type="dxa" w:w="1728"/>
            <w:vAlign w:val="center"/>
          </w:tcPr>
          <w:p>
            <w:pPr>
              <w:jc w:val="left"/>
            </w:pPr>
            <w:r>
              <w:rPr>
                <w:rFonts w:ascii="Times New Roman" w:hAnsi="Times New Roman"/>
                <w:sz w:val="18"/>
              </w:rPr>
              <w:t>[0.08, 0.12]</w:t>
            </w:r>
          </w:p>
        </w:tc>
        <w:tc>
          <w:tcPr>
            <w:tcW w:type="dxa" w:w="1728"/>
            <w:vAlign w:val="center"/>
          </w:tcPr>
          <w:p>
            <w:pPr>
              <w:jc w:val="left"/>
            </w:pPr>
            <w:r>
              <w:rPr>
                <w:rFonts w:ascii="Times New Roman" w:hAnsi="Times New Roman"/>
                <w:sz w:val="18"/>
              </w:rPr>
              <w:t>[0.16, 0.24]</w:t>
            </w:r>
          </w:p>
        </w:tc>
        <w:tc>
          <w:tcPr>
            <w:tcW w:type="dxa" w:w="1728"/>
            <w:vAlign w:val="center"/>
          </w:tcPr>
          <w:p>
            <w:pPr>
              <w:jc w:val="left"/>
            </w:pPr>
            <w:r>
              <w:rPr>
                <w:rFonts w:ascii="Times New Roman" w:hAnsi="Times New Roman"/>
                <w:sz w:val="18"/>
              </w:rPr>
              <w:t>[0.4, 0.6]</w:t>
            </w:r>
          </w:p>
        </w:tc>
        <w:tc>
          <w:tcPr>
            <w:tcW w:type="dxa" w:w="1728"/>
            <w:vAlign w:val="center"/>
          </w:tcPr>
          <w:p>
            <w:pPr>
              <w:jc w:val="left"/>
            </w:pPr>
            <w:r>
              <w:rPr>
                <w:rFonts w:ascii="Times New Roman" w:hAnsi="Times New Roman"/>
                <w:sz w:val="18"/>
              </w:rPr>
              <w:t>[0.533333, 1.8]</w:t>
            </w:r>
          </w:p>
        </w:tc>
        <w:tc>
          <w:tcPr>
            <w:tcW w:type="dxa" w:w="1728"/>
            <w:vAlign w:val="center"/>
          </w:tcPr>
          <w:p>
            <w:pPr>
              <w:jc w:val="left"/>
            </w:pPr>
            <w:r>
              <w:rPr>
                <w:rFonts w:ascii="Times New Roman" w:hAnsi="Times New Roman"/>
                <w:sz w:val="18"/>
              </w:rPr>
              <w:t>Opposite directions feasible</w:t>
            </w:r>
          </w:p>
        </w:tc>
      </w:tr>
    </w:tbl>
    <w:p>
      <w:pPr>
        <w:spacing w:after="120"/>
        <w:jc w:val="both"/>
      </w:pPr>
      <w:r>
        <w:t>The doubled relative fraction is a useful concrete contrast. Before p=0.1 and after p=0.2, a load ratio of 0.25 gives an absolute fold of 0.5, while a ratio of four gives a fold of eight. Both satisfy the same exact composition change and the broad declared load box. A tight ratio of 0.9-1.1 excludes the decrease and restricts the fold to 1.8-2.2. Neither example is a measured intervention or a probability assigned to either endpoint. The information that changes the conclusion is the load constraint, not a new ecological model. Similarly, uncertainty in both fractions and the load can cross the no-change boundary even if the supplied later-fraction interval lies entirely above the baseline interval.</w:t>
      </w:r>
    </w:p>
    <w:p>
      <w:pPr>
        <w:spacing w:after="120"/>
        <w:jc w:val="both"/>
      </w:pPr>
      <w:r>
        <w:t>The protocol froze eleven deterministic cells before execution: three exact later fractions, 0.05, 0.1 and 0.2, each crossed with three load-ratio intervals, plus one uncertain-fraction cell and one boundary-touching cell. All eight corners of every supplied box were enumerated to check the analytic extrema, with maximum disagreement at most 1e-12. The grid retains two increase-under-box results, two decreases, five opposite-direction witnesses and two boundary abstentions. Runtime was approximately 0.000276 seconds; there was no sampling, optimization, biological dataset or model training. All eleven outcomes remain in results/load_direction_grid_20261007.json, and useful_win=False. This is an algebraic implementation check, not a predictive benchmark or measured calibration result.</w:t>
      </w:r>
    </w:p>
    <w:p>
      <w:pPr>
        <w:spacing w:after="120"/>
        <w:jc w:val="both"/>
      </w:pPr>
      <w:r>
        <w:t>Fifteen offline fixtures cover the grid, both sign witnesses, tight-load conclusions, unknown load, unverified measurement compatibility, boundary touching, unordered or non-finite bounds, Boolean-as-number mistakes and zero-fraction rejection. The standalone execution script initially failed to import the local source package before running any cells; an explicit source-path import fixed execution without changing the scientific grid. The implementation is src/microtwin/load_direction.py with scripts/load_direction_grid.py and the frozen protocol results/PREREG_20261007_load_direction.md. Its output explicitly denies independent validation, causal interpretation and clinical eligibility. It is a library function rather than a hosted platform endpoint.</w:t>
      </w:r>
    </w:p>
    <w:p>
      <w:pPr>
        <w:spacing w:after="120"/>
        <w:jc w:val="both"/>
      </w:pPr>
      <w:r>
        <w:t>This direction check and the earlier gLV removal witness answer different questions. The load box asks whether an observed relative change can be translated into an absolute change under measurement constraints. The gLV witness asks whether models consistent with a synthetic equilibrium can disagree about an unobserved species-removal response. Measuring total load can reduce the first ambiguity without identifying interaction parameters or resolving the second. Conversely, a fitted dynamic model cannot repair an incompatible measurement scale by asserting a confident intervention sign. A future multimodal twin should record absolute load, chemical measurements and taxon fractions as separate evidence layers, with their calibration and specimen linkage checked before joint fitting. No current result here demonstrates that integration or a replicated ecological discovery.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(17)</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(18)</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28.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29.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30.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(19)</w:t>
      </w:r>
    </w:p>
    <w:p>
      <w:pPr>
        <w:keepNext/>
      </w:pPr>
      <w:r>
        <w:rPr>
          <w:b/>
        </w:rPr>
        <w:t>Table 31.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(20)</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32.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(21)</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(22)</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33.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(23)</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34.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35.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36.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37.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38.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39.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40.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41.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42.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43.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44.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2"/>
      </w:pPr>
      <w:r>
        <w:t>7.1 Operational ambiguity witnesses: an invention candidate tested only in constructed systems</w:t>
      </w:r>
    </w:p>
    <w:p>
      <w:pPr>
        <w:spacing w:after="120"/>
        <w:jc w:val="both"/>
      </w:pPr>
      <w:r>
        <w:t>The expanded platform goal raises a question that cross-sectional assemblage prediction alone cannot answer: if several ecological mechanisms match an observed community, could they disagree about a species-removal outcome? Structural identifiability of microbial community models has been studied, including cases where parameters cannot be determined from relative-abundance measurements. Ensemble ecosystem modelling has also generated feasible and stable gLV parameter sets and forecast management interventions. These are important prior art, not work invented here. See https://pmc.ncbi.nlm.nih.gov/articles/PMC10135947/ and https://journals.plos.org/ploscompbiol/article?id=10.1371/journal.pcbi.1011976 . Our bounded prototype packages a pair of explicit models as an inspectable disagreement witness instead of averaging them into a deceptively precise point forecast. The witness format is an engineering candidate, not a literature-priority or new-algorithm claim.</w:t>
      </w:r>
    </w:p>
    <w:p>
      <w:pPr>
        <w:spacing w:after="120"/>
        <w:jc w:val="both"/>
      </w:pPr>
      <w:r>
        <w:t>The first analytically soluble construction uses three absolute-abundance species with observed positive equilibrium (1,1,1), diagonal interaction strengths -1, and only one variable off-diagonal effect c from species 3 to species 1. Intrinsic growth rates are (1-c,1,1), so all values of c in the declared interval reproduce the same baseline equilibrium. Permanent removal of species 3 gives a surviving two-species equilibrium (1-c,1); hence the contrast for species 1 is -c. Choosing c=-0.4 and +0.4 yields opposite signs while the original observed state is identical. This proves non-uniqueness within the specified synthetic family, not that two such systems describe any actual microbiome. The five interval tests were frozen before computation: one interval crossed zero and generated an explicit pair, while four one-sided or zero-bound cases abstained. The output includes rates, matrices, pre- and post-removal equilibrium residuals, and Jacobian eigenvalues; these are independently recalculated in tests.</w:t>
      </w:r>
    </w:p>
    <w:p>
      <w:pPr>
        <w:spacing w:after="120"/>
        <w:jc w:val="both"/>
      </w:pPr>
      <w:r>
        <w:t>The next checker accepts a finite list of user-supplied three-species gLV candidate matrices and growth rates, verifies the supplied positive baseline as an equilibrium, solves the positive survivor equilibrium, rejects singular or unstable models, and reports a positive/negative witness pair when both signs occur. Forty constructed two-candidate panels were generated from a fixed seed and simple diagonally dominant matrices, half deliberately sign-opposing and half deliberately one-sided. The checker returned witnesses for the 20 opposing pairs and abstained on the 20 one-sided pairs; three separately injected invalid models were rejected. A deliberately weak flag that treats any parameter difference as ambiguous fired on all 40 panels, but is not a published-method comparator. The perfect toy-panel count reflects construction, not predictive accuracy or real-world sensitivity. A missing witness in a finite submitted set does not prove a continuous class agrees.</w:t>
      </w:r>
    </w:p>
    <w:p>
      <w:pPr>
        <w:spacing w:after="120"/>
        <w:jc w:val="both"/>
      </w:pPr>
      <w:r>
        <w:t>A soundness correction matters even in the toy. A negative Jacobian eigenvalue at a candidate post-removal equilibrium only proves local stability. It does not prove that the actual survivor state immediately after removal belongs to its attraction basin. Thus the default checker calls its outputs stable-equilibrium contrasts, not realized intervention effects. An optional stricter mode checks that the symmetric part of the two-species survivor interaction matrix is negative definite. In an exact positive gLV with a positive survivor equilibrium, the standard weighted Volterra Lyapunov function has derivative equal to the survivor-state deviation transposed against that symmetric part and itself. Strict negativity supplies global convergence from any positive survivor starting point in that exact model. The optional mode retained all 20 constructed opposing witnesses and abstained on all 20 one-sided pairs; a locally stable example that fails this stronger sufficient condition is rejected in strict mode. Its rejection is not evidence that the trajectory truly diverges. The proof and test rule are in results/PREREG_20260928_lyapunov_reachability.md.</w:t>
      </w:r>
    </w:p>
    <w:p>
      <w:pPr>
        <w:spacing w:after="120"/>
        <w:jc w:val="both"/>
      </w:pPr>
      <w:r>
        <w:t>These prototypes do not choose a biologically admissible model set, measure absolute abundance for a patient, estimate growth or interaction parameters, cover alternative attractors outside the checked family, or validate a removal experiment. They cannot advise treatment, certify a keystone species, or demonstrate algorithmic priority over existing ensemble and identifiability methods. To make the tool scientifically useful, a future study would need independent parameter constraints, measured pre- and post-perturbation trajectories, source- and subject-disjoint testing, negative controls, and a matched comparison to established ensemble forecasts and robust identifiability tools. A good witness would then make an evidence gap visible; it would not by itself solve that gap. The existing predictive audit, the newly exact assay provenance, and the toy witness therefore occupy three different evidence levels and should not be added together as an external benchmark win or replicated discovery.</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45.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Historical blind reproduction snapshot (2026-09-26, before subsequent manuscript expansion): fresh git clone of the repository into an empty directory, then a single command (python3 paper/build_paper.py) regenerated the paper end to end from the committed result files: 22 equations, 27 tables, 3 figures, matching that date's working-tree build, not the current expanded draft;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(public).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46.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p>
      <w:pPr>
        <w:spacing w:after="120"/>
        <w:jc w:val="both"/>
      </w:pPr>
      <w:r>
        <w:t>Thriene K, Stanislas V, et al. Impact of Yogurt and Rolled Oats Consumption on the Gut Microbiome: A Randomized Crossover Study Displaying Individual Responses and General Resilience. Journal of Nutrition 2026;156(4):101408. doi:10.1016/j.tjnut.2026.101408. https://pmc.ncbi.nlm.nih.gov/articles/PMC13084677/</w:t>
      </w:r>
    </w:p>
    <w:p>
      <w:pPr>
        <w:spacing w:after="120"/>
        <w:jc w:val="both"/>
      </w:pPr>
      <w:r>
        <w:t>SCFA data and analytical report, yogurt and rolled oats intervention. Zenodo record 15363886, CC BY 4.0. https://zenodo.org/records/15363886</w:t>
      </w:r>
    </w:p>
    <w:p>
      <w:pPr>
        <w:spacing w:after="120"/>
        <w:jc w:val="both"/>
      </w:pPr>
      <w:r>
        <w:t>Vandeputte D, et al. Quantitative microbiome profiling links gut community variation to microbial load. Nature 2017;551:507-511. https://www.nature.com/articles/nature24460</w:t>
      </w:r>
    </w:p>
    <w:p>
      <w:pPr>
        <w:spacing w:after="120"/>
        <w:jc w:val="both"/>
      </w:pPr>
      <w:r>
        <w:t>Baxter NT, et al. Dynamics of Human Gut Microbiota and Short-Chain Fatty Acids in Response to Dietary Interventions with Three Fermentable Fibers. mBio 2019;10:e02566-18. https://journals.asm.org/doi/10.1128/mbio.02566-18</w:t>
      </w:r>
    </w:p>
    <w:p>
      <w:pPr>
        <w:spacing w:after="120"/>
        <w:jc w:val="both"/>
      </w:pPr>
      <w:r>
        <w:t>Venkataraman A, et al. Variable responses of human microbiomes to dietary supplementation with resistant starch. Microbiome 2016. https://pmc.ncbi.nlm.nih.gov/articles/PMC4928258/</w:t>
      </w:r>
    </w:p>
    <w:p>
      <w:pPr>
        <w:spacing w:after="120"/>
        <w:jc w:val="both"/>
      </w:pPr>
      <w:r>
        <w:t>Hagan T, et al. Antibiotics-driven gut microbiome perturbation alters immunity to vaccines in humans. Cell 2019. https://pmc.ncbi.nlm.nih.gov/articles/PMC6750738/</w:t>
      </w:r>
    </w:p>
    <w:p>
      <w:pPr>
        <w:spacing w:after="120"/>
        <w:jc w:val="both"/>
      </w:pPr>
      <w:r>
        <w:t>Palleja A, et al. Recovery of gut microbiota of healthy adults following antibiotic exposure. Nature Microbiology 2018. https://www.nature.com/articles/s41564-018-0257-9</w:t>
      </w:r>
    </w:p>
    <w:p>
      <w:pPr>
        <w:spacing w:after="120"/>
        <w:jc w:val="both"/>
      </w:pPr>
      <w:r>
        <w:t>Raymond F, et al. The initial state of the human gut microbiome determines its reshaping by antibiotics. ISME Journal 2016;10(3):707-720 (online September 11, 2015). doi:10.1038/ismej.2015.148. https://pmc.ncbi.nlm.nih.gov/articles/PMC4817689/</w:t>
      </w:r>
    </w:p>
    <w:p>
      <w:pPr>
        <w:spacing w:after="120"/>
        <w:jc w:val="both"/>
      </w:pPr>
      <w:r>
        <w:t>Zaura E, et al. Same Exposure but Two Radically Different Responses to Antibiotics: Resilience of the Salivary Microbiome versus Long-Term Microbial Shifts in Feces. mBio 2015;6(6):e01693-15. doi:10.1128/mBio.01693-15. https://pmc.ncbi.nlm.nih.gov/articles/PMC4659469/</w:t>
      </w:r>
    </w:p>
    <w:p>
      <w:pPr>
        <w:spacing w:after="120"/>
        <w:jc w:val="both"/>
      </w:pPr>
      <w:r>
        <w:t>Guthrie L, et al. Impact of a 7-day homogeneous diet on interpersonal variation in human gut microbiomes and metabolomes. Cell Host and Microbe 2022. https://www.cell.com/cell-host-microbe/fulltext/S1931-3128(22)00263-3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