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5.1.3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6.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7.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8.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9.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10.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11.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12.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13.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2"/>
      </w:pPr>
      <w:r>
        <w:t>5.4 cNODE benchmark: interactions help outside humans, not detectably on human data</w:t>
      </w:r>
    </w:p>
    <w:p>
      <w:pPr>
        <w:keepNext/>
      </w:pPr>
      <w:r>
        <w:rPr>
          <w:b/>
        </w:rPr>
        <w:t>Table 14.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15.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16.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17.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18.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19.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20.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21.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22.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23.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24.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25.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26.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27.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28.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29.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30.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31.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32.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within-project controls are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(with an explicit detection model), the presence-conditional forecaster's advantage on UC should shrink or reverse. The all-timepoint test in Section 5.2 falsified that prediction: the forecaster remains ahead on the released source data.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comparisons rely on published point estimates; no per-timepoint MDSINE2 predictions.</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33.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34.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