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DRAFT: Interaction Models Lower Prediction Error in 121 of 160 MGnify Study Tables: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spacing w:after="120"/>
        <w:jc w:val="both"/>
      </w:pPr>
      <w:r>
        <w:t>The measured extension is a first-period forecast of eight stool SCFA concentrations from a CC BY 4.0 yogurt/oats deposit, evaluated within one study on 84 eligible held-out submitted subjects. A fixed ridge model has standardized log error 0.702517 versus persistence 0.798983, same-arm mean change 0.806896 and nearest-three donors 0.775684. Improvements are 12.07%, 12.94% and 9.43%; useful_win=False because the nearest-three gain misses the frozen 10% threshold. This is a development result, not independent replication, taxonomic twin validation, a causal diet effect or a leading-tool comparison. The local research workflow and admission gates are executable, but the hosted platform, external benchmark, calibrated reliability composite and replicated discovery remain unfinished. This document is a draft; its physical page count does not certify fifty substantive body pages.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 conditional-loss analysis plus diagnostics that falsify the proposed scoring-only explanation.</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proposed contribution is the auditing framework and its documented falsification discipline; literature priority is not established here. Neither a single model nor a benchmark re-run is presented as a new biological discovery.</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the archived within-table procedure detects predictive interaction-model gains in 121 of 160 MGnify tables. Those tables have not been certified as independent external biological studies, and the gains do not identify causal interactions.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Conditional-loss target and its explanatory limit</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conditional-loss identity describes an appropriate target for the mean; it does not establish that detection-only scoring explains the observed model ranking. The later all-timepoint diagnostic falsified that scoring-only explanation. The identity is: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Original benchmark inputs appear in Table 1, with 160 archived MGnify tables listed in Appendix A. The former count of 169 items combines six cNODE matrices, two mouse cohorts, one derivative Source Data comparison and 160 MGnify records. It is an inventory count, not 169 independent primary biological datasets: the Source Data comparison derives from the mouse benchmark, and source-family independence remains unresolved for the archive. The later measured SCFA development deposit is described separately. Source data are public, while the local analysis performs the explicitly described normalization, filtering and aggregation. Secondary trait and literature reference tables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whether the publication endpoint citation was misassigned; the direct ENA assay bridge below identifies the deposited 16S run family. Primary person and family mapping,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5.1.2e.2 Exact ENA assay bridge: what the identifier establishes</w:t>
      </w:r>
    </w:p>
    <w:p>
      <w:pPr>
        <w:spacing w:after="120"/>
        <w:jc w:val="both"/>
      </w:pPr>
      <w:r>
        <w:t>The earlier family diagnostic could not connect the MGnify archive to the original article's sequencing deposit from its abstract alone. A subsequent direct provider check crossed that narrower bridge without opening a new predictive outcome. ENA's ERP001500 study XML lists PRJEB3079 as its secondary project accession and qiime_study_850 as its submitted alias. The 2012 Gordon Lab source portal lists qiime:850 for its Illumina V4 16S deposit, separate from qiime:621 for fecal shotgun data. The identifier, rather than resemblance of titles, connects the archive's ENA study to that 16S deposit. This does not make every source annotation correct or supply an article-to-person linkage. ENA XML: https://www.ebi.ac.uk/ena/browser/api/xml/ERP001500 ; author portal: https://gordonlab.wustl.edu/supplemental-data/supplemental-data-portal/yatsunenko-et-al-2012/ .</w:t>
      </w:r>
    </w:p>
    <w:p>
      <w:pPr>
        <w:spacing w:after="120"/>
        <w:jc w:val="both"/>
      </w:pPr>
      <w:r>
        <w:t>We further compared actual run identifiers, not just study labels. ENA's current ERP001500 read-run report exposes 530 unique run accessions and 529 unique sample accessions. All 530 reported runs carry AMPLICON library strategy, PCR selection and ILLUMINA instrument platform. The original MGnify SSU table has 529 raw run-ID columns and the unchanged archived filtering retains 400. Every one of the 529 raw column IDs and all 400 retained IDs exactly appears in the ENA run set; one ENA run is not a source-table column. Thus the old columns, not merely an unrelated accession in the same BioProject, have source-supported Illumina amplicon provenance. A spot-check of one ENA experiment shows 16S V4, but V4 uniformity across all 400 retained runs has not been independently checked. Full aggregate report, URLs and hashes are frozen in results/PREREG_20260928_primary_assay_crosswalk.md. The historical assay is now better grounded than the earlier manuscript text says, while the biological-family field stays unknown.</w:t>
      </w:r>
    </w:p>
    <w:p>
      <w:pPr>
        <w:spacing w:after="120"/>
        <w:jc w:val="both"/>
      </w:pPr>
      <w:r>
        <w:t>An assay bridge and a biological-independence bridge answer different questions. The first says which read runs contributed to an abundance table and what ENA calls their sequencing strategy. The second asks whether rows represent unrelated people, a twin pair, a repeated sample, or a mirror of a published cohort. The ENA report's 529 distinct sample accessions cannot resolve those relationships. The study abstract describes 531 people and twins, but neither number should be forced onto the 400 retained run columns as a participant count. The MGnify linked-publications endpoint's 2021 citation also remains inconsistent with the matching 2012 study abstract; the exact ENA alias resolves the deposited study identity without silently resolving that bibliographic conflict. This table is already viewed, so even a later family map could not turn the diagnostic into an untouched final test. No Wilcoxon statistic or BH correction in the 160-study archive was recomputed here.</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3"/>
      </w:pPr>
      <w:r>
        <w:t>5.4.1 Internal split-calibrated error radii, not a reliability index</w:t>
      </w:r>
    </w:p>
    <w:p>
      <w:pPr>
        <w:spacing w:after="120"/>
        <w:jc w:val="both"/>
      </w:pPr>
      <w:r>
        <w:t>A local research predictor can state what its uncertainty check actually measured without turning it into a clinical or cross-source promise. We fitted the same PresenceMean composition prior separately on 60% of each of six previously viewed cNODE ecosystem tables, calibrated on floor 20%, and checked the remaining samples after assemblage deduplication under one seed. For each labeled calibration sample we computed Bray-Curtis error between the fixed predictor and observed composition. At target miscoverage alpha=0.1, the radius is the ceil((n_cal+1)(1-alpha))-th sorted calibration error; if that rank exceeds n_cal, it returns the vacuous Bray-Curtis maximum 1. This is an error-radius check for a composition predictor, not a set of intervals for individual taxa.</w:t>
      </w:r>
    </w:p>
    <w:p>
      <w:pPr>
        <w:keepNext/>
      </w:pPr>
      <w:r>
        <w:rPr>
          <w:b/>
        </w:rPr>
        <w:t>Table 20. One 60/20/20 within-table split for the PresenceMean baseline, seed zero. Empirical test coverage is descriptive; nominal 90% marginal coverage requires exchangeability and does not hold deterministically in each finite test 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ecosystem</w:t>
            </w:r>
          </w:p>
        </w:tc>
        <w:tc>
          <w:tcPr>
            <w:tcW w:type="dxa" w:w="1080"/>
            <w:vAlign w:val="center"/>
          </w:tcPr>
          <w:p>
            <w:pPr>
              <w:jc w:val="left"/>
            </w:pPr>
            <w:r>
              <w:rPr>
                <w:rFonts w:ascii="Times New Roman" w:hAnsi="Times New Roman"/>
                <w:sz w:val="18"/>
              </w:rPr>
              <w:t>train</w:t>
            </w:r>
          </w:p>
        </w:tc>
        <w:tc>
          <w:tcPr>
            <w:tcW w:type="dxa" w:w="1080"/>
            <w:vAlign w:val="center"/>
          </w:tcPr>
          <w:p>
            <w:pPr>
              <w:jc w:val="left"/>
            </w:pPr>
            <w:r>
              <w:rPr>
                <w:rFonts w:ascii="Times New Roman" w:hAnsi="Times New Roman"/>
                <w:sz w:val="18"/>
              </w:rPr>
              <w:t>cal</w:t>
            </w:r>
          </w:p>
        </w:tc>
        <w:tc>
          <w:tcPr>
            <w:tcW w:type="dxa" w:w="1080"/>
            <w:vAlign w:val="center"/>
          </w:tcPr>
          <w:p>
            <w:pPr>
              <w:jc w:val="left"/>
            </w:pPr>
            <w:r>
              <w:rPr>
                <w:rFonts w:ascii="Times New Roman" w:hAnsi="Times New Roman"/>
                <w:sz w:val="18"/>
              </w:rPr>
              <w:t>test</w:t>
            </w:r>
          </w:p>
        </w:tc>
        <w:tc>
          <w:tcPr>
            <w:tcW w:type="dxa" w:w="1080"/>
            <w:vAlign w:val="center"/>
          </w:tcPr>
          <w:p>
            <w:pPr>
              <w:jc w:val="left"/>
            </w:pPr>
            <w:r>
              <w:rPr>
                <w:rFonts w:ascii="Times New Roman" w:hAnsi="Times New Roman"/>
                <w:sz w:val="18"/>
              </w:rPr>
              <w:t>radius</w:t>
            </w:r>
          </w:p>
        </w:tc>
        <w:tc>
          <w:tcPr>
            <w:tcW w:type="dxa" w:w="1080"/>
            <w:vAlign w:val="center"/>
          </w:tcPr>
          <w:p>
            <w:pPr>
              <w:jc w:val="left"/>
            </w:pPr>
            <w:r>
              <w:rPr>
                <w:rFonts w:ascii="Times New Roman" w:hAnsi="Times New Roman"/>
                <w:sz w:val="18"/>
              </w:rPr>
              <w:t>covered</w:t>
            </w:r>
          </w:p>
        </w:tc>
        <w:tc>
          <w:tcPr>
            <w:tcW w:type="dxa" w:w="1080"/>
            <w:vAlign w:val="center"/>
          </w:tcPr>
          <w:p>
            <w:pPr>
              <w:jc w:val="left"/>
            </w:pPr>
            <w:r>
              <w:rPr>
                <w:rFonts w:ascii="Times New Roman" w:hAnsi="Times New Roman"/>
                <w:sz w:val="18"/>
              </w:rPr>
              <w:t>empirical coverage</w:t>
            </w:r>
          </w:p>
        </w:tc>
        <w:tc>
          <w:tcPr>
            <w:tcW w:type="dxa" w:w="1080"/>
            <w:vAlign w:val="center"/>
          </w:tcPr>
          <w:p>
            <w:pPr>
              <w:jc w:val="left"/>
            </w:pPr>
            <w:r>
              <w:rPr>
                <w:rFonts w:ascii="Times New Roman" w:hAnsi="Times New Roman"/>
                <w:sz w:val="18"/>
              </w:rPr>
              <w:t>vacuous</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161</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52/55</w:t>
            </w:r>
          </w:p>
        </w:tc>
        <w:tc>
          <w:tcPr>
            <w:tcW w:type="dxa" w:w="1080"/>
            <w:vAlign w:val="center"/>
          </w:tcPr>
          <w:p>
            <w:pPr>
              <w:jc w:val="left"/>
            </w:pPr>
            <w:r>
              <w:rPr>
                <w:rFonts w:ascii="Times New Roman" w:hAnsi="Times New Roman"/>
                <w:sz w:val="18"/>
              </w:rPr>
              <w:t>94.5%</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14</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yes</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9</w:t>
            </w:r>
          </w:p>
        </w:tc>
        <w:tc>
          <w:tcPr>
            <w:tcW w:type="dxa" w:w="1080"/>
            <w:vAlign w:val="center"/>
          </w:tcPr>
          <w:p>
            <w:pPr>
              <w:jc w:val="left"/>
            </w:pPr>
            <w:r>
              <w:rPr>
                <w:rFonts w:ascii="Times New Roman" w:hAnsi="Times New Roman"/>
                <w:sz w:val="18"/>
              </w:rPr>
              <w:t>11</w:t>
            </w:r>
          </w:p>
        </w:tc>
        <w:tc>
          <w:tcPr>
            <w:tcW w:type="dxa" w:w="1080"/>
            <w:vAlign w:val="center"/>
          </w:tcPr>
          <w:p>
            <w:pPr>
              <w:jc w:val="left"/>
            </w:pPr>
            <w:r>
              <w:rPr>
                <w:rFonts w:ascii="Times New Roman" w:hAnsi="Times New Roman"/>
                <w:sz w:val="18"/>
              </w:rPr>
              <w:t>0.441</w:t>
            </w:r>
          </w:p>
        </w:tc>
        <w:tc>
          <w:tcPr>
            <w:tcW w:type="dxa" w:w="1080"/>
            <w:vAlign w:val="center"/>
          </w:tcPr>
          <w:p>
            <w:pPr>
              <w:jc w:val="left"/>
            </w:pPr>
            <w:r>
              <w:rPr>
                <w:rFonts w:ascii="Times New Roman" w:hAnsi="Times New Roman"/>
                <w:sz w:val="18"/>
              </w:rPr>
              <w:t>9/11</w:t>
            </w:r>
          </w:p>
        </w:tc>
        <w:tc>
          <w:tcPr>
            <w:tcW w:type="dxa" w:w="1080"/>
            <w:vAlign w:val="center"/>
          </w:tcPr>
          <w:p>
            <w:pPr>
              <w:jc w:val="left"/>
            </w:pPr>
            <w:r>
              <w:rPr>
                <w:rFonts w:ascii="Times New Roman" w:hAnsi="Times New Roman"/>
                <w:sz w:val="18"/>
              </w:rPr>
              <w:t>81.8%</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Soil Vivo</w:t>
            </w:r>
          </w:p>
        </w:tc>
        <w:tc>
          <w:tcPr>
            <w:tcW w:type="dxa" w:w="1080"/>
            <w:vAlign w:val="center"/>
          </w:tcPr>
          <w:p>
            <w:pPr>
              <w:jc w:val="left"/>
            </w:pPr>
            <w:r>
              <w:rPr>
                <w:rFonts w:ascii="Times New Roman" w:hAnsi="Times New Roman"/>
                <w:sz w:val="18"/>
              </w:rPr>
              <w:t>406</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122/137</w:t>
            </w:r>
          </w:p>
        </w:tc>
        <w:tc>
          <w:tcPr>
            <w:tcW w:type="dxa" w:w="1080"/>
            <w:vAlign w:val="center"/>
          </w:tcPr>
          <w:p>
            <w:pPr>
              <w:jc w:val="left"/>
            </w:pPr>
            <w:r>
              <w:rPr>
                <w:rFonts w:ascii="Times New Roman" w:hAnsi="Times New Roman"/>
                <w:sz w:val="18"/>
              </w:rPr>
              <w:t>89.1%</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29/30</w:t>
            </w:r>
          </w:p>
        </w:tc>
        <w:tc>
          <w:tcPr>
            <w:tcW w:type="dxa" w:w="1080"/>
            <w:vAlign w:val="center"/>
          </w:tcPr>
          <w:p>
            <w:pPr>
              <w:jc w:val="left"/>
            </w:pPr>
            <w:r>
              <w:rPr>
                <w:rFonts w:ascii="Times New Roman" w:hAnsi="Times New Roman"/>
                <w:sz w:val="18"/>
              </w:rPr>
              <w:t>96.7%</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22</w:t>
            </w:r>
          </w:p>
        </w:tc>
        <w:tc>
          <w:tcPr>
            <w:tcW w:type="dxa" w:w="1080"/>
            <w:vAlign w:val="center"/>
          </w:tcPr>
          <w:p>
            <w:pPr>
              <w:jc w:val="left"/>
            </w:pPr>
            <w:r>
              <w:rPr>
                <w:rFonts w:ascii="Times New Roman" w:hAnsi="Times New Roman"/>
                <w:sz w:val="18"/>
              </w:rPr>
              <w:t>0.430</w:t>
            </w:r>
          </w:p>
        </w:tc>
        <w:tc>
          <w:tcPr>
            <w:tcW w:type="dxa" w:w="1080"/>
            <w:vAlign w:val="center"/>
          </w:tcPr>
          <w:p>
            <w:pPr>
              <w:jc w:val="left"/>
            </w:pPr>
            <w:r>
              <w:rPr>
                <w:rFonts w:ascii="Times New Roman" w:hAnsi="Times New Roman"/>
                <w:sz w:val="18"/>
              </w:rPr>
              <w:t>19/22</w:t>
            </w:r>
          </w:p>
        </w:tc>
        <w:tc>
          <w:tcPr>
            <w:tcW w:type="dxa" w:w="1080"/>
            <w:vAlign w:val="center"/>
          </w:tcPr>
          <w:p>
            <w:pPr>
              <w:jc w:val="left"/>
            </w:pPr>
            <w:r>
              <w:rPr>
                <w:rFonts w:ascii="Times New Roman" w:hAnsi="Times New Roman"/>
                <w:sz w:val="18"/>
              </w:rPr>
              <w:t>86.4%</w:t>
            </w:r>
          </w:p>
        </w:tc>
        <w:tc>
          <w:tcPr>
            <w:tcW w:type="dxa" w:w="1080"/>
            <w:vAlign w:val="center"/>
          </w:tcPr>
          <w:p>
            <w:pPr>
              <w:jc w:val="left"/>
            </w:pPr>
            <w:r>
              <w:rPr>
                <w:rFonts w:ascii="Times New Roman" w:hAnsi="Times New Roman"/>
                <w:sz w:val="18"/>
              </w:rPr>
              <w:t>no</w:t>
            </w:r>
          </w:p>
        </w:tc>
      </w:tr>
    </w:tbl>
    <w:p>
      <w:pPr>
        <w:spacing w:after="120"/>
        <w:jc w:val="both"/>
      </w:pPr>
      <w:r>
        <w:t>The Ocean test covered 52/55 observations at radius 0.223; Human Oral covered 29/30 at radius 0.407. Soil in vitro covered 9/11, Soil in vivo 122/137 and Human Gut 19/22, all below 90% as realized proportions. Drosophila Gut covered 6/6 only because four calibration samples forced the vacuous radius 1.0; it provides no useful discrimination. Small finite test proportions are not direct proof of a failure of marginal conformal theory, and a radius calibrated on one table need not transfer to a new biome, assay, participant or perturbation. The source tables were already viewed and their split is within-dataset, not a held-out biological source. No Twin Reliability Index is calibrated or reported. Source SHA-256 values, splits, quantile ranks and exact result fractions are in results/internal_conformal_check.json; implementation: scripts/internal_conformal_check.py and src/microtwin/conformal.py.</w:t>
      </w:r>
    </w:p>
    <w:p>
      <w:pPr>
        <w:pStyle w:val="Heading3"/>
      </w:pPr>
      <w:r>
        <w:t>5.4.2 End-to-end predictor check after input-only abstention</w:t>
      </w:r>
    </w:p>
    <w:p>
      <w:pPr>
        <w:spacing w:after="120"/>
        <w:jc w:val="both"/>
      </w:pPr>
      <w:r>
        <w:t>The preceding radius calculation checked the frozen model directly. A separate already-run end-to-end check fed six previously viewed tables into the released local calibrated-prediction path with the same seeded candidate split. The command refuses a calibration or query sample with a present taxon absent from the training vocabulary. The check therefore removed such rows using only their input taxon presence, before measuring errors, then reported coverage on the admissible test rows. This conditional denominator differs from the all-candidate split in Section 5.4.1: it cannot be presented as unconditional 90% coverage or as successful prediction of abstained rows.</w:t>
      </w:r>
    </w:p>
    <w:p>
      <w:pPr>
        <w:keepNext/>
      </w:pPr>
      <w:r>
        <w:rPr>
          <w:b/>
        </w:rPr>
        <w:t>Table 21. Actual local calibrated prediction path on six already-viewed cNODE tables. Rows with unseen present taxa were excluded by input-only abstention before scoring; split seed zero. This is an admissible-row sensitivity, not an external validation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ecosystem</w:t>
            </w:r>
          </w:p>
        </w:tc>
        <w:tc>
          <w:tcPr>
            <w:tcW w:type="dxa" w:w="1234"/>
            <w:vAlign w:val="center"/>
          </w:tcPr>
          <w:p>
            <w:pPr>
              <w:jc w:val="left"/>
            </w:pPr>
            <w:r>
              <w:rPr>
                <w:rFonts w:ascii="Times New Roman" w:hAnsi="Times New Roman"/>
                <w:sz w:val="18"/>
              </w:rPr>
              <w:t>cal kept/candidate</w:t>
            </w:r>
          </w:p>
        </w:tc>
        <w:tc>
          <w:tcPr>
            <w:tcW w:type="dxa" w:w="1234"/>
            <w:vAlign w:val="center"/>
          </w:tcPr>
          <w:p>
            <w:pPr>
              <w:jc w:val="left"/>
            </w:pPr>
            <w:r>
              <w:rPr>
                <w:rFonts w:ascii="Times New Roman" w:hAnsi="Times New Roman"/>
                <w:sz w:val="18"/>
              </w:rPr>
              <w:t>test kept/candidate</w:t>
            </w:r>
          </w:p>
        </w:tc>
        <w:tc>
          <w:tcPr>
            <w:tcW w:type="dxa" w:w="1234"/>
            <w:vAlign w:val="center"/>
          </w:tcPr>
          <w:p>
            <w:pPr>
              <w:jc w:val="left"/>
            </w:pPr>
            <w:r>
              <w:rPr>
                <w:rFonts w:ascii="Times New Roman" w:hAnsi="Times New Roman"/>
                <w:sz w:val="18"/>
              </w:rPr>
              <w:t>radius</w:t>
            </w:r>
          </w:p>
        </w:tc>
        <w:tc>
          <w:tcPr>
            <w:tcW w:type="dxa" w:w="1234"/>
            <w:vAlign w:val="center"/>
          </w:tcPr>
          <w:p>
            <w:pPr>
              <w:jc w:val="left"/>
            </w:pPr>
            <w:r>
              <w:rPr>
                <w:rFonts w:ascii="Times New Roman" w:hAnsi="Times New Roman"/>
                <w:sz w:val="18"/>
              </w:rPr>
              <w:t>covered/scored</w:t>
            </w:r>
          </w:p>
        </w:tc>
        <w:tc>
          <w:tcPr>
            <w:tcW w:type="dxa" w:w="1234"/>
            <w:vAlign w:val="center"/>
          </w:tcPr>
          <w:p>
            <w:pPr>
              <w:jc w:val="left"/>
            </w:pPr>
            <w:r>
              <w:rPr>
                <w:rFonts w:ascii="Times New Roman" w:hAnsi="Times New Roman"/>
                <w:sz w:val="18"/>
              </w:rPr>
              <w:t>scored coverage</w:t>
            </w:r>
          </w:p>
        </w:tc>
        <w:tc>
          <w:tcPr>
            <w:tcW w:type="dxa" w:w="1234"/>
            <w:vAlign w:val="center"/>
          </w:tcPr>
          <w:p>
            <w:pPr>
              <w:jc w:val="left"/>
            </w:pPr>
            <w:r>
              <w:rPr>
                <w:rFonts w:ascii="Times New Roman" w:hAnsi="Times New Roman"/>
                <w:sz w:val="18"/>
              </w:rPr>
              <w:t>vacuous</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52/53</w:t>
            </w:r>
          </w:p>
        </w:tc>
        <w:tc>
          <w:tcPr>
            <w:tcW w:type="dxa" w:w="1234"/>
            <w:vAlign w:val="center"/>
          </w:tcPr>
          <w:p>
            <w:pPr>
              <w:jc w:val="left"/>
            </w:pPr>
            <w:r>
              <w:rPr>
                <w:rFonts w:ascii="Times New Roman" w:hAnsi="Times New Roman"/>
                <w:sz w:val="18"/>
              </w:rPr>
              <w:t>55/55</w:t>
            </w:r>
          </w:p>
        </w:tc>
        <w:tc>
          <w:tcPr>
            <w:tcW w:type="dxa" w:w="1234"/>
            <w:vAlign w:val="center"/>
          </w:tcPr>
          <w:p>
            <w:pPr>
              <w:jc w:val="left"/>
            </w:pPr>
            <w:r>
              <w:rPr>
                <w:rFonts w:ascii="Times New Roman" w:hAnsi="Times New Roman"/>
                <w:sz w:val="18"/>
              </w:rPr>
              <w:t>0.193</w:t>
            </w:r>
          </w:p>
        </w:tc>
        <w:tc>
          <w:tcPr>
            <w:tcW w:type="dxa" w:w="1234"/>
            <w:vAlign w:val="center"/>
          </w:tcPr>
          <w:p>
            <w:pPr>
              <w:jc w:val="left"/>
            </w:pPr>
            <w:r>
              <w:rPr>
                <w:rFonts w:ascii="Times New Roman" w:hAnsi="Times New Roman"/>
                <w:sz w:val="18"/>
              </w:rPr>
              <w:t>51/55</w:t>
            </w:r>
          </w:p>
        </w:tc>
        <w:tc>
          <w:tcPr>
            <w:tcW w:type="dxa" w:w="1234"/>
            <w:vAlign w:val="center"/>
          </w:tcPr>
          <w:p>
            <w:pPr>
              <w:jc w:val="left"/>
            </w:pPr>
            <w:r>
              <w:rPr>
                <w:rFonts w:ascii="Times New Roman" w:hAnsi="Times New Roman"/>
                <w:sz w:val="18"/>
              </w:rPr>
              <w:t>92.7%</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Drosophila Gut</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yes</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9/9</w:t>
            </w:r>
          </w:p>
        </w:tc>
        <w:tc>
          <w:tcPr>
            <w:tcW w:type="dxa" w:w="1234"/>
            <w:vAlign w:val="center"/>
          </w:tcPr>
          <w:p>
            <w:pPr>
              <w:jc w:val="left"/>
            </w:pPr>
            <w:r>
              <w:rPr>
                <w:rFonts w:ascii="Times New Roman" w:hAnsi="Times New Roman"/>
                <w:sz w:val="18"/>
              </w:rPr>
              <w:t>11/11</w:t>
            </w:r>
          </w:p>
        </w:tc>
        <w:tc>
          <w:tcPr>
            <w:tcW w:type="dxa" w:w="1234"/>
            <w:vAlign w:val="center"/>
          </w:tcPr>
          <w:p>
            <w:pPr>
              <w:jc w:val="left"/>
            </w:pPr>
            <w:r>
              <w:rPr>
                <w:rFonts w:ascii="Times New Roman" w:hAnsi="Times New Roman"/>
                <w:sz w:val="18"/>
              </w:rPr>
              <w:t>0.441</w:t>
            </w:r>
          </w:p>
        </w:tc>
        <w:tc>
          <w:tcPr>
            <w:tcW w:type="dxa" w:w="1234"/>
            <w:vAlign w:val="center"/>
          </w:tcPr>
          <w:p>
            <w:pPr>
              <w:jc w:val="left"/>
            </w:pPr>
            <w:r>
              <w:rPr>
                <w:rFonts w:ascii="Times New Roman" w:hAnsi="Times New Roman"/>
                <w:sz w:val="18"/>
              </w:rPr>
              <w:t>9/11</w:t>
            </w:r>
          </w:p>
        </w:tc>
        <w:tc>
          <w:tcPr>
            <w:tcW w:type="dxa" w:w="1234"/>
            <w:vAlign w:val="center"/>
          </w:tcPr>
          <w:p>
            <w:pPr>
              <w:jc w:val="left"/>
            </w:pPr>
            <w:r>
              <w:rPr>
                <w:rFonts w:ascii="Times New Roman" w:hAnsi="Times New Roman"/>
                <w:sz w:val="18"/>
              </w:rPr>
              <w:t>81.8%</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132/135</w:t>
            </w:r>
          </w:p>
        </w:tc>
        <w:tc>
          <w:tcPr>
            <w:tcW w:type="dxa" w:w="1234"/>
            <w:vAlign w:val="center"/>
          </w:tcPr>
          <w:p>
            <w:pPr>
              <w:jc w:val="left"/>
            </w:pPr>
            <w:r>
              <w:rPr>
                <w:rFonts w:ascii="Times New Roman" w:hAnsi="Times New Roman"/>
                <w:sz w:val="18"/>
              </w:rPr>
              <w:t>135/137</w:t>
            </w:r>
          </w:p>
        </w:tc>
        <w:tc>
          <w:tcPr>
            <w:tcW w:type="dxa" w:w="1234"/>
            <w:vAlign w:val="center"/>
          </w:tcPr>
          <w:p>
            <w:pPr>
              <w:jc w:val="left"/>
            </w:pPr>
            <w:r>
              <w:rPr>
                <w:rFonts w:ascii="Times New Roman" w:hAnsi="Times New Roman"/>
                <w:sz w:val="18"/>
              </w:rPr>
              <w:t>0.225</w:t>
            </w:r>
          </w:p>
        </w:tc>
        <w:tc>
          <w:tcPr>
            <w:tcW w:type="dxa" w:w="1234"/>
            <w:vAlign w:val="center"/>
          </w:tcPr>
          <w:p>
            <w:pPr>
              <w:jc w:val="left"/>
            </w:pPr>
            <w:r>
              <w:rPr>
                <w:rFonts w:ascii="Times New Roman" w:hAnsi="Times New Roman"/>
                <w:sz w:val="18"/>
              </w:rPr>
              <w:t>120/135</w:t>
            </w:r>
          </w:p>
        </w:tc>
        <w:tc>
          <w:tcPr>
            <w:tcW w:type="dxa" w:w="1234"/>
            <w:vAlign w:val="center"/>
          </w:tcPr>
          <w:p>
            <w:pPr>
              <w:jc w:val="left"/>
            </w:pPr>
            <w:r>
              <w:rPr>
                <w:rFonts w:ascii="Times New Roman" w:hAnsi="Times New Roman"/>
                <w:sz w:val="18"/>
              </w:rPr>
              <w:t>88.9%</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Oral</w:t>
            </w:r>
          </w:p>
        </w:tc>
        <w:tc>
          <w:tcPr>
            <w:tcW w:type="dxa" w:w="1234"/>
            <w:vAlign w:val="center"/>
          </w:tcPr>
          <w:p>
            <w:pPr>
              <w:jc w:val="left"/>
            </w:pPr>
            <w:r>
              <w:rPr>
                <w:rFonts w:ascii="Times New Roman" w:hAnsi="Times New Roman"/>
                <w:sz w:val="18"/>
              </w:rPr>
              <w:t>26/28</w:t>
            </w:r>
          </w:p>
        </w:tc>
        <w:tc>
          <w:tcPr>
            <w:tcW w:type="dxa" w:w="1234"/>
            <w:vAlign w:val="center"/>
          </w:tcPr>
          <w:p>
            <w:pPr>
              <w:jc w:val="left"/>
            </w:pPr>
            <w:r>
              <w:rPr>
                <w:rFonts w:ascii="Times New Roman" w:hAnsi="Times New Roman"/>
                <w:sz w:val="18"/>
              </w:rPr>
              <w:t>28/30</w:t>
            </w:r>
          </w:p>
        </w:tc>
        <w:tc>
          <w:tcPr>
            <w:tcW w:type="dxa" w:w="1234"/>
            <w:vAlign w:val="center"/>
          </w:tcPr>
          <w:p>
            <w:pPr>
              <w:jc w:val="left"/>
            </w:pPr>
            <w:r>
              <w:rPr>
                <w:rFonts w:ascii="Times New Roman" w:hAnsi="Times New Roman"/>
                <w:sz w:val="18"/>
              </w:rPr>
              <w:t>0.407</w:t>
            </w:r>
          </w:p>
        </w:tc>
        <w:tc>
          <w:tcPr>
            <w:tcW w:type="dxa" w:w="1234"/>
            <w:vAlign w:val="center"/>
          </w:tcPr>
          <w:p>
            <w:pPr>
              <w:jc w:val="left"/>
            </w:pPr>
            <w:r>
              <w:rPr>
                <w:rFonts w:ascii="Times New Roman" w:hAnsi="Times New Roman"/>
                <w:sz w:val="18"/>
              </w:rPr>
              <w:t>27/28</w:t>
            </w:r>
          </w:p>
        </w:tc>
        <w:tc>
          <w:tcPr>
            <w:tcW w:type="dxa" w:w="1234"/>
            <w:vAlign w:val="center"/>
          </w:tcPr>
          <w:p>
            <w:pPr>
              <w:jc w:val="left"/>
            </w:pPr>
            <w:r>
              <w:rPr>
                <w:rFonts w:ascii="Times New Roman" w:hAnsi="Times New Roman"/>
                <w:sz w:val="18"/>
              </w:rPr>
              <w:t>96.4%</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Gut</w:t>
            </w:r>
          </w:p>
        </w:tc>
        <w:tc>
          <w:tcPr>
            <w:tcW w:type="dxa" w:w="1234"/>
            <w:vAlign w:val="center"/>
          </w:tcPr>
          <w:p>
            <w:pPr>
              <w:jc w:val="left"/>
            </w:pPr>
            <w:r>
              <w:rPr>
                <w:rFonts w:ascii="Times New Roman" w:hAnsi="Times New Roman"/>
                <w:sz w:val="18"/>
              </w:rPr>
              <w:t>21/21</w:t>
            </w:r>
          </w:p>
        </w:tc>
        <w:tc>
          <w:tcPr>
            <w:tcW w:type="dxa" w:w="1234"/>
            <w:vAlign w:val="center"/>
          </w:tcPr>
          <w:p>
            <w:pPr>
              <w:jc w:val="left"/>
            </w:pPr>
            <w:r>
              <w:rPr>
                <w:rFonts w:ascii="Times New Roman" w:hAnsi="Times New Roman"/>
                <w:sz w:val="18"/>
              </w:rPr>
              <w:t>22/22</w:t>
            </w:r>
          </w:p>
        </w:tc>
        <w:tc>
          <w:tcPr>
            <w:tcW w:type="dxa" w:w="1234"/>
            <w:vAlign w:val="center"/>
          </w:tcPr>
          <w:p>
            <w:pPr>
              <w:jc w:val="left"/>
            </w:pPr>
            <w:r>
              <w:rPr>
                <w:rFonts w:ascii="Times New Roman" w:hAnsi="Times New Roman"/>
                <w:sz w:val="18"/>
              </w:rPr>
              <w:t>0.430</w:t>
            </w:r>
          </w:p>
        </w:tc>
        <w:tc>
          <w:tcPr>
            <w:tcW w:type="dxa" w:w="1234"/>
            <w:vAlign w:val="center"/>
          </w:tcPr>
          <w:p>
            <w:pPr>
              <w:jc w:val="left"/>
            </w:pPr>
            <w:r>
              <w:rPr>
                <w:rFonts w:ascii="Times New Roman" w:hAnsi="Times New Roman"/>
                <w:sz w:val="18"/>
              </w:rPr>
              <w:t>19/22</w:t>
            </w:r>
          </w:p>
        </w:tc>
        <w:tc>
          <w:tcPr>
            <w:tcW w:type="dxa" w:w="1234"/>
            <w:vAlign w:val="center"/>
          </w:tcPr>
          <w:p>
            <w:pPr>
              <w:jc w:val="left"/>
            </w:pPr>
            <w:r>
              <w:rPr>
                <w:rFonts w:ascii="Times New Roman" w:hAnsi="Times New Roman"/>
                <w:sz w:val="18"/>
              </w:rPr>
              <w:t>86.4%</w:t>
            </w:r>
          </w:p>
        </w:tc>
        <w:tc>
          <w:tcPr>
            <w:tcW w:type="dxa" w:w="1234"/>
            <w:vAlign w:val="center"/>
          </w:tcPr>
          <w:p>
            <w:pPr>
              <w:jc w:val="left"/>
            </w:pPr>
            <w:r>
              <w:rPr>
                <w:rFonts w:ascii="Times New Roman" w:hAnsi="Times New Roman"/>
                <w:sz w:val="18"/>
              </w:rPr>
              <w:t>no</w:t>
            </w:r>
          </w:p>
        </w:tc>
      </w:tr>
    </w:tbl>
    <w:p>
      <w:pPr>
        <w:spacing w:after="120"/>
        <w:jc w:val="both"/>
      </w:pPr>
      <w:r>
        <w:t>Ocean loses one of 53 calibration candidates and covers 51/55 scored tests at radius 0.193. Soil in vivo loses three calibration and two test candidates, then covers 120/135 at radius 0.225. Human Oral loses two calibration and two test rows, covering 27/28 at radius 0.407. Soil in vitro still covers 9/11, Human Gut 19/22, and Drosophila Gut 6/6 with the same vacuous radius 1.0. For every scored table, the command's predictions match the archived PresenceMean implementation to better than 2e-15 absolute maximum deviation; this is a numerical implementation check, not independent ecological replication. No experiment here verifies sample exchangeability across participants or source families, and no Twin Reliability Index or clinical guarantee follows. Candidate and scored counts, source hashes and per-table numerical deviations are in results/local_calibrated_six_dataset_check.json; runnable check: scripts/local_calibrated_six_dataset_check.py.</w:t>
      </w:r>
    </w:p>
    <w:p>
      <w:pPr>
        <w:pStyle w:val="Heading1"/>
      </w:pPr>
      <w:r>
        <w:t>Measured extension: first-period stool-metabolite forecasting</w:t>
      </w:r>
    </w:p>
    <w:p>
      <w:pPr>
        <w:spacing w:after="120"/>
        <w:jc w:val="both"/>
      </w:pPr>
      <w:r>
        <w:t>A personalized research platform needs a task with measurable targets, known sample units and an honest boundary around what its model predicts. The next measured extension therefore uses targeted stool short-chain fatty acid (SCFA) concentrations rather than borrowing an unverified taxonomic table or treating predicted gene functions as observed biology. The public 2026 yogurt and rolled-oats crossover study supplies an explicitly CC BY 4.0 metabolite deposit, Zenodo record 15363886. Its eight analytes are 2-methylbutyric acid, acetic acid, butyric acid, hexanoic acid, isobutyric acid, isovaleric acid, propionic acid and valeric acid, measured in micrograms per gram of stool. This is a different measurement contract from relative microbial abundance: concentrations are not normalized to sum to one, and predicting them does not certify taxonomic composition, causal ecological interactions or clinical benefit.</w:t>
      </w:r>
    </w:p>
    <w:p>
      <w:pPr>
        <w:spacing w:after="120"/>
        <w:jc w:val="both"/>
      </w:pPr>
      <w:r>
        <w:t>The original trial randomized 119 adults; 110 completed all four phases. Each participant consumed 250 grams of yogurt daily in one four-week intervention and the same yogurt plus 50 grams of rolled oats daily in another. Treatment order was randomized, with four-week washout phases. The deposit contains 462 samples, of which 440 are main samples and 22 are quality-control duplicates. All main samples form unique submitted subject-time coordinates across four phases. The analysis deliberately uses only the first baseline and first post-intervention sample. It does not learn from the second intervention, pool repeated periods as independent people or assume that washout eliminated carryover. Group A receives yogurt first and group B receives yogurt plus oats first. The model sees that intervention label, but the task remains a forecast in observed treated participants, not an estimate of what the same person would have experienced without treatment.</w:t>
      </w:r>
    </w:p>
    <w:p>
      <w:pPr>
        <w:spacing w:after="120"/>
        <w:jc w:val="both"/>
      </w:pPr>
      <w:r>
        <w:t>Metadata inspection preceded any concentration scoring. This order found an important difference between nominal phase labels and actual collection dates. First-period intervals range from 24 to 138 days in the deposited metadata, while later washout intervals include two nonpositive values and some date endpoints do not parse. These entries were not silently repaired. The frozen first-period task retains only baseline-to-follow-up intervals of 21 through 35 days, inclusive. This bounds collection separation without pretending that dietary start, adherence or exact exposure duration were measured by the sample label. The result cannot support a continuous-time kinetic model or a clinical scheduling recommendation. Public scripts elsewhere in the author repository include illustrative participant clinical records; those records are neither model features nor public outputs of this analysis.</w:t>
      </w:r>
    </w:p>
    <w:p>
      <w:pPr>
        <w:spacing w:after="120"/>
        <w:jc w:val="both"/>
      </w:pPr>
      <w:r>
        <w:t>The concentration workbook has 3,696 unique sample-analyte records, exactly eight for each of its 462 sample labels, and those labels match the metabolite metadata. Units and material are uniform. The local reproduction script verifies the original workbook MD5 and metadata SHA-256 before processing. Primary assay eligibility is strict: all baseline and target cells must be finite nonnegative numbers, within their stated lower and upper quantitation limits, and free of nonempty analysis comments. The laboratory report says that values outside calibration range may be extrapolated and flagged BLOQ or ALOQ. The analysis does not convert those flags to zero, remove an inconvenient metabolite, or impute a favorable response. Complete-case filtering leaves 84 subjects, 42 in each treatment-order group. Twenty-five subjects fail the assay rule and one fails the collection interval. This restriction is material: the estimates apply to quantifiable complete cases, not all randomized participants or all low-concentration specimens.</w:t>
      </w:r>
    </w:p>
    <w:p>
      <w:pPr>
        <w:spacing w:after="120"/>
        <w:jc w:val="both"/>
      </w:pPr>
      <w:r>
        <w:t>A frozen five-fold subject split holds out entire submitted people. Within each arm, sorted subject labels are shuffled with a fixed random seed and assigned cyclically to folds. Log1p baseline concentrations are standardized using training-fold statistics. A ridge model with fixed alpha 10 predicts change in log concentration from eight baseline features, the assigned first intervention, and eight baseline-by-intervention products. Predicted target log concentrations are clipped only below zero; there is no compositional projection. No hyperparameter search, effect-based feature selection or alternate model variant follows the score. The comparators are persistence, training-only same-arm mean log change, and the mean change of the three nearest same-arm baseline donors. Neighbors are selected in training-standardized baseline space. This is a demanding practical comparison because a personalized predictor must add value over carrying the last measurement forward or borrowing an observed donor response.</w:t>
      </w:r>
    </w:p>
    <w:p>
      <w:pPr>
        <w:spacing w:after="120"/>
        <w:jc w:val="both"/>
      </w:pPr>
      <w:r>
        <w:t>The primary error averages absolute log concentration errors across analytes after scaling by each target-log training-fold standard deviation, then averages over held-out subjects. Scaling prevents a large natural range in one analyte from dominating every other target; it does not create a universal reliability score. Secondary results retain unscaled log errors and per-analyte errors. The useful-win rule was frozen before outcome inspection: at least ten percent lower primary error than each comparator, with a negative upper bound on each paired subject-bootstrap interval. The bootstrap uses 2,000 subject resamples and is descriptive within this study. It does not establish independent-source replication, correct for all previous development choices or supply calibrated patient-level prediction intervals.</w:t>
      </w:r>
    </w:p>
    <w:p>
      <w:pPr>
        <w:keepNext/>
      </w:pPr>
      <w:r>
        <w:rPr>
          <w:b/>
        </w:rPr>
        <w:t>Table 22. First-period SCFA held-subject development forecasts, 84 complete-case subjects; smaller error is better.</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Forecast</w:t>
            </w:r>
          </w:p>
        </w:tc>
        <w:tc>
          <w:tcPr>
            <w:tcW w:type="dxa" w:w="2880"/>
            <w:vAlign w:val="center"/>
          </w:tcPr>
          <w:p>
            <w:pPr>
              <w:jc w:val="left"/>
            </w:pPr>
            <w:r>
              <w:rPr>
                <w:rFonts w:ascii="Times New Roman" w:hAnsi="Times New Roman"/>
                <w:sz w:val="18"/>
              </w:rPr>
              <w:t>Standardized log error</w:t>
            </w:r>
          </w:p>
        </w:tc>
        <w:tc>
          <w:tcPr>
            <w:tcW w:type="dxa" w:w="2880"/>
            <w:vAlign w:val="center"/>
          </w:tcPr>
          <w:p>
            <w:pPr>
              <w:jc w:val="left"/>
            </w:pPr>
            <w:r>
              <w:rPr>
                <w:rFonts w:ascii="Times New Roman" w:hAnsi="Times New Roman"/>
                <w:sz w:val="18"/>
              </w:rPr>
              <w:t>Unscaled log error</w:t>
            </w:r>
          </w:p>
        </w:tc>
      </w:tr>
      <w:tr>
        <w:tc>
          <w:tcPr>
            <w:tcW w:type="dxa" w:w="2880"/>
            <w:vAlign w:val="center"/>
          </w:tcPr>
          <w:p>
            <w:pPr>
              <w:jc w:val="left"/>
            </w:pPr>
            <w:r>
              <w:rPr>
                <w:rFonts w:ascii="Times New Roman" w:hAnsi="Times New Roman"/>
                <w:sz w:val="18"/>
              </w:rPr>
              <w:t>ridge</w:t>
            </w:r>
          </w:p>
        </w:tc>
        <w:tc>
          <w:tcPr>
            <w:tcW w:type="dxa" w:w="2880"/>
            <w:vAlign w:val="center"/>
          </w:tcPr>
          <w:p>
            <w:pPr>
              <w:jc w:val="left"/>
            </w:pPr>
            <w:r>
              <w:rPr>
                <w:rFonts w:ascii="Times New Roman" w:hAnsi="Times New Roman"/>
                <w:sz w:val="18"/>
              </w:rPr>
              <w:t>0.703</w:t>
            </w:r>
          </w:p>
        </w:tc>
        <w:tc>
          <w:tcPr>
            <w:tcW w:type="dxa" w:w="2880"/>
            <w:vAlign w:val="center"/>
          </w:tcPr>
          <w:p>
            <w:pPr>
              <w:jc w:val="left"/>
            </w:pPr>
            <w:r>
              <w:rPr>
                <w:rFonts w:ascii="Times New Roman" w:hAnsi="Times New Roman"/>
                <w:sz w:val="18"/>
              </w:rPr>
              <w:t>0.447</w:t>
            </w:r>
          </w:p>
        </w:tc>
      </w:tr>
      <w:tr>
        <w:tc>
          <w:tcPr>
            <w:tcW w:type="dxa" w:w="2880"/>
            <w:vAlign w:val="center"/>
          </w:tcPr>
          <w:p>
            <w:pPr>
              <w:jc w:val="left"/>
            </w:pPr>
            <w:r>
              <w:rPr>
                <w:rFonts w:ascii="Times New Roman" w:hAnsi="Times New Roman"/>
                <w:sz w:val="18"/>
              </w:rPr>
              <w:t>persistence</w:t>
            </w:r>
          </w:p>
        </w:tc>
        <w:tc>
          <w:tcPr>
            <w:tcW w:type="dxa" w:w="2880"/>
            <w:vAlign w:val="center"/>
          </w:tcPr>
          <w:p>
            <w:pPr>
              <w:jc w:val="left"/>
            </w:pPr>
            <w:r>
              <w:rPr>
                <w:rFonts w:ascii="Times New Roman" w:hAnsi="Times New Roman"/>
                <w:sz w:val="18"/>
              </w:rPr>
              <w:t>0.799</w:t>
            </w:r>
          </w:p>
        </w:tc>
        <w:tc>
          <w:tcPr>
            <w:tcW w:type="dxa" w:w="2880"/>
            <w:vAlign w:val="center"/>
          </w:tcPr>
          <w:p>
            <w:pPr>
              <w:jc w:val="left"/>
            </w:pPr>
            <w:r>
              <w:rPr>
                <w:rFonts w:ascii="Times New Roman" w:hAnsi="Times New Roman"/>
                <w:sz w:val="18"/>
              </w:rPr>
              <w:t>0.495</w:t>
            </w:r>
          </w:p>
        </w:tc>
      </w:tr>
      <w:tr>
        <w:tc>
          <w:tcPr>
            <w:tcW w:type="dxa" w:w="2880"/>
            <w:vAlign w:val="center"/>
          </w:tcPr>
          <w:p>
            <w:pPr>
              <w:jc w:val="left"/>
            </w:pPr>
            <w:r>
              <w:rPr>
                <w:rFonts w:ascii="Times New Roman" w:hAnsi="Times New Roman"/>
                <w:sz w:val="18"/>
              </w:rPr>
              <w:t>arm_mean</w:t>
            </w:r>
          </w:p>
        </w:tc>
        <w:tc>
          <w:tcPr>
            <w:tcW w:type="dxa" w:w="2880"/>
            <w:vAlign w:val="center"/>
          </w:tcPr>
          <w:p>
            <w:pPr>
              <w:jc w:val="left"/>
            </w:pPr>
            <w:r>
              <w:rPr>
                <w:rFonts w:ascii="Times New Roman" w:hAnsi="Times New Roman"/>
                <w:sz w:val="18"/>
              </w:rPr>
              <w:t>0.807</w:t>
            </w:r>
          </w:p>
        </w:tc>
        <w:tc>
          <w:tcPr>
            <w:tcW w:type="dxa" w:w="2880"/>
            <w:vAlign w:val="center"/>
          </w:tcPr>
          <w:p>
            <w:pPr>
              <w:jc w:val="left"/>
            </w:pPr>
            <w:r>
              <w:rPr>
                <w:rFonts w:ascii="Times New Roman" w:hAnsi="Times New Roman"/>
                <w:sz w:val="18"/>
              </w:rPr>
              <w:t>0.502</w:t>
            </w:r>
          </w:p>
        </w:tc>
      </w:tr>
      <w:tr>
        <w:tc>
          <w:tcPr>
            <w:tcW w:type="dxa" w:w="2880"/>
            <w:vAlign w:val="center"/>
          </w:tcPr>
          <w:p>
            <w:pPr>
              <w:jc w:val="left"/>
            </w:pPr>
            <w:r>
              <w:rPr>
                <w:rFonts w:ascii="Times New Roman" w:hAnsi="Times New Roman"/>
                <w:sz w:val="18"/>
              </w:rPr>
              <w:t>nearest_three</w:t>
            </w:r>
          </w:p>
        </w:tc>
        <w:tc>
          <w:tcPr>
            <w:tcW w:type="dxa" w:w="2880"/>
            <w:vAlign w:val="center"/>
          </w:tcPr>
          <w:p>
            <w:pPr>
              <w:jc w:val="left"/>
            </w:pPr>
            <w:r>
              <w:rPr>
                <w:rFonts w:ascii="Times New Roman" w:hAnsi="Times New Roman"/>
                <w:sz w:val="18"/>
              </w:rPr>
              <w:t>0.776</w:t>
            </w:r>
          </w:p>
        </w:tc>
        <w:tc>
          <w:tcPr>
            <w:tcW w:type="dxa" w:w="2880"/>
            <w:vAlign w:val="center"/>
          </w:tcPr>
          <w:p>
            <w:pPr>
              <w:jc w:val="left"/>
            </w:pPr>
            <w:r>
              <w:rPr>
                <w:rFonts w:ascii="Times New Roman" w:hAnsi="Times New Roman"/>
                <w:sz w:val="18"/>
              </w:rPr>
              <w:t>0.497</w:t>
            </w:r>
          </w:p>
        </w:tc>
      </w:tr>
    </w:tbl>
    <w:p>
      <w:pPr>
        <w:spacing w:after="120"/>
        <w:jc w:val="both"/>
      </w:pPr>
      <w:r>
        <w:t>The fixed ridge forecast has primary mean error 0.702517, compared with 0.798983 for persistence, 0.806896 for same-arm mean change and 0.775684 for nearest-three donors. Relative improvements are 12.07, 12.94 and 9.43 percent. The corresponding paired model-minus-reference bootstrap intervals are [-0.169426, -0.022469], [-0.172099, -0.034693] and [-0.123910, -0.020608]. Thus the model improves the aggregate metric against all three fixed baselines in this development evaluation, but the third improvement falls below the required ten percent. The recorded verdict is useful_win=False. This distinction matters: a favorable direction of error change does not satisfy a preregistered usefulness rule. The threshold is not lowered to rescue the result, and a close miss is not promoted to a win against a leading external tool.</w:t>
      </w:r>
    </w:p>
    <w:p>
      <w:pPr>
        <w:spacing w:after="120"/>
        <w:jc w:val="both"/>
      </w:pPr>
      <w:r>
        <w:t>Aggregate accuracy also hides target-specific weaknesses. Hexanoic acid has mean absolute log error 0.690508 under ridge, worse than persistence at 0.601259. A user should not infer that every metabolite benefits from the aggregate improvement. All eligible subjects are scored once, predictions are finite, and replacing held-out targets leaves their predictions unchanged. The mandatory replacement check refits the five folds for verification, giving ten small fits in total: five scoring fits and five verification fits. This exceeds the brief five-fit execution estimate but stays inside the frozen single-thread, 120-second evaluation limit; measured evaluation time is 0.287 seconds. No extra scientific variant or paid compute was used. These checks establish local execution properties, not true biological identity or generalization to a new laboratory.</w:t>
      </w:r>
    </w:p>
    <w:p>
      <w:pPr>
        <w:pStyle w:val="Heading1"/>
      </w:pPr>
      <w:r>
        <w:t>Source admission is part of the measurement, not a dataset count</w:t>
      </w:r>
    </w:p>
    <w:p>
      <w:pPr>
        <w:spacing w:after="120"/>
        <w:jc w:val="both"/>
      </w:pPr>
      <w:r>
        <w:t>Several apparently suitable antibiotic cohorts did not supply the full evidence needed for a comparable task. CEREMI has multiple publications and accessions from the same trial, not independent replication. Hagan has a well-defined antibiotic course and a primary deposit, but this bounded inventory inspection did not retrieve a taxonomic table with an exact phase, subject and collection-time join. Raymond has clear cefprozil dosing and untreated controls, yet its inspected supplements contain quality-control and statistical tables rather than an identified complete abundance matrix. Its final sample label denotes ninety days after treatment end, so treating that label as ninety days after first dose would alter the time axis. Zaura provides an important further warning: the primary study selected its shotgun pairs for the largest observed microbiome changes. Such a selected subset cannot be an unbiased multimodal validation sample merely because two assays exist.</w:t>
      </w:r>
    </w:p>
    <w:p>
      <w:pPr>
        <w:spacing w:after="120"/>
        <w:jc w:val="both"/>
      </w:pPr>
      <w:r>
        <w:t>Palleja illustrates why processed-data availability alone is insufficient. Its author archive is retrievable and its primary sample table has 57 specimens from twelve donors. An educational mirror has 57 abundance-table headers, but eight primary sample IDs carry an opt suffix absent from the mirror. The analysis does not strip the suffix and assert provenance. The earlier clinical report also describes stool collected before named visits and an additional antibiotic course in one participant. The bounded author archive contains more than one gigabyte of uncompressed tables and no README, license or sample-map member in its inspected inventory. The approved extraction stop was honored. This is not proof that the source is unusable forever; it is a precisely described admission gap. A later MISO diet deposit similarly uses an other-open label without explicit reuse terms in the inspected archive. Its seven-day homogeneous diet and measured outputs cannot be substituted for four-week yogurt/oat SCFA validation without a separate task contract.</w:t>
      </w:r>
    </w:p>
    <w:p>
      <w:pPr>
        <w:spacing w:after="120"/>
        <w:jc w:val="both"/>
      </w:pPr>
      <w:r>
        <w:t>The licensed SCFA route therefore adds a small, reproducible quantitative test and exposes a modest predictive signal, while leaving the larger scientific promises open. Its concentrations are now viewed development data, not an untouched holdout. The taxonomic GitHub tables stay metadata-only because the article license and metabolite-deposit license do not automatically establish their own reuse scope. Neither the source hunt nor the SCFA forecast closes independent top-tool benchmarking, causal perturbation validation, replicated keystone discovery, foundation-scale training or external calibration. The appropriate next scientific question is whether a locked transferable task works in an independently recruited, measurement-compatible and explicitly reusable cohort. If those requirements fail, the platform should abstain rather than accumulate nominal datasets or relabel a same-study result as discovery.</w:t>
      </w:r>
    </w:p>
    <w:p>
      <w:pPr>
        <w:pStyle w:val="Heading1"/>
      </w:pPr>
      <w:r>
        <w:t>Operational contract for a local research run</w:t>
      </w:r>
    </w:p>
    <w:p>
      <w:pPr>
        <w:spacing w:after="120"/>
        <w:jc w:val="both"/>
      </w:pPr>
      <w:r>
        <w:t>The current platform is a set of local research programs, not a hosted patient service. Its practical contribution is to make a limited prediction reproducible while keeping questions that it cannot answer separate. A researcher first decides whether the target is composition conditional on an observed assemblage, a future measured metabolite, or a response to an intervention. These targets need different input and validation contracts. A species-removal screen changes the assemblage supplied to a composition predictor, but does not thereby identify the composition that would occur after removing that organism in a person. A model can calculate a number for the changed input even when the biological contrast is unidentified. The workflow must stop that numerical operation from becoming an unsupported treatment recommendation.</w:t>
      </w:r>
    </w:p>
    <w:p>
      <w:pPr>
        <w:spacing w:after="120"/>
        <w:jc w:val="both"/>
      </w:pPr>
      <w:r>
        <w:t>For the implemented composition baseline, each labeled training row represents a submitted sample and each column a taxon. Counts are normalized within each row before the population mean is computed, so a deeply sequenced sample does not receive more weight merely because it has more reads. The query supplies binary presence indicators, not its unknown outcome abundances. The prediction masks the population mean to the taxa present in the query and renormalizes their weights. A small smoothing term is applied only after the unseen-present-taxon check. Consequently, smoothing cannot manufacture evidence for an organism absent from all training samples. This rule is intentionally simple. Its behavior is inspectable, but its simplicity is not proof that it is the best predictor or that a population average captures a particular person.</w:t>
      </w:r>
    </w:p>
    <w:p>
      <w:pPr>
        <w:spacing w:after="120"/>
        <w:jc w:val="both"/>
      </w:pPr>
      <w:r>
        <w:t>The table contract is strict at the local file boundary. CSV or TSV files are limited to fifty million bytes each. The first column must be sample_id, remaining column names must be unique and nonempty, and every numeric entry must be finite. Training counts must be integers; submitted relative abundances must sum to one within the implemented tolerance. Query taxa must match both training names and column order exactly, query identifiers must not overlap training identifiers, and every query must contain at least one present taxon. A present taxon with zero empirical training abundance leads to abstention. These restrictions reduce silent numerical errors and accidental leakage. They do not detect every renamed duplicate, identify a laboratory method, establish a biological taxon equivalence, or recover an omitted organism.</w:t>
      </w:r>
    </w:p>
    <w:p>
      <w:pPr>
        <w:spacing w:after="120"/>
        <w:jc w:val="both"/>
      </w:pPr>
      <w:r>
        <w:t>The strict prediction route adds a measurement contract before writing an output. The contract supplies source family, specimen material, assay, taxonomy version, processing pipeline and unit for training and query. Declared measurement fields must match, the source family must match the requested source label, and cross-source prediction abstains because an independently validated bridge is not implemented. Matching declarations establish consistency between submitted labels, not their truth. The researcher must retain the source documents behind the declarations. A copied assay name or a shared genus label cannot turn a V4 amplicon table into a shotgun table, make saliva interchangeable with feces, or establish that two processing pipelines have equivalent detection limits.</w:t>
      </w:r>
    </w:p>
    <w:p>
      <w:pPr>
        <w:spacing w:after="120"/>
        <w:jc w:val="both"/>
      </w:pPr>
      <w:r>
        <w:t>Subject maps address a second boundary that sample identifiers alone cannot protect. The checked route can require exact sample-to-submitted-subject maps for training and query, with one mapping for every sample. Overlap between submitted subjects then fails even if their sample names differ. When the query map is absent, the report explicitly leaves query-subject separation unverified. This distinction matters in longitudinal studies, where many valid sample rows can come from one person. Renaming that person across files still defeats an exact-label check. Source recruitment records, family relationships and specimen provenance therefore remain part of the scientific admission process, rather than claims supplied by a successful software return code.</w:t>
      </w:r>
    </w:p>
    <w:p>
      <w:pPr>
        <w:pStyle w:val="Heading1"/>
      </w:pPr>
      <w:r>
        <w:t>Calibration, integrity and the meaning of an abstention</w:t>
      </w:r>
    </w:p>
    <w:p>
      <w:pPr>
        <w:spacing w:after="120"/>
        <w:jc w:val="both"/>
      </w:pPr>
      <w:r>
        <w:t>A calibrated local run adds a separate labeled calibration table after the predictor has been defined from training data. The reported Bray-Curtis radius uses the finite-sample rank ceiling of (n_cal+1)(1-alpha). If that rank exceeds the available calibration count, the radius is the maximum distance, one. That output is valid as an explicit lack of useful precision, not a reason to reduce the nominal coverage target after seeing the result. The radius concerns marginal error under exchangeability of calibration and future queries. It is not a conditional interval for a named individual, a probability of clinical harm, or a guarantee for a new intervention or laboratory. The observed same-dataset coverage diagnostics earlier in this paper must be read with their precise candidate, excluded and scored denominators.</w:t>
      </w:r>
    </w:p>
    <w:p>
      <w:pPr>
        <w:spacing w:after="120"/>
        <w:jc w:val="both"/>
      </w:pPr>
      <w:r>
        <w:t>The reliability ledger preserves five separate evidence components: prediction accuracy, predictive interaction dependence, uncertainty calibration, transferability and robustness. Even when a caller supplies all five numbers, the implementation does not average them into a score. It records them as reported but unvalidated and leaves the composite index unavailable. This is a deliberate separation between an engineering interface and a scientific result. A high number for one component cannot replace missing transfer evidence, and arbitrary weights would hide a decision that has never been calibrated on independent sources. The correct output for the present platform is the evidence vector and its missing fields, not a patient-facing percentage of trust.</w:t>
      </w:r>
    </w:p>
    <w:p>
      <w:pPr>
        <w:spacing w:after="120"/>
        <w:jc w:val="both"/>
      </w:pPr>
      <w:r>
        <w:t>A checked composition run can write an integrity receipt alongside its new prediction CSV. The receipt binds hashes and byte counts of the training file, query, measurement contract, prediction and any included subject maps. Input hashes are rechecked during the run to detect changes between inspection and prediction. Existing output and receipt paths are refused. If receipt creation fails after prediction creation, the implementation removes that new prediction output rather than leave an apparently complete paired deliverable. This is local failure handling, not a transaction guarantee across machines, a cryptographic signature, or authentication of the researcher. Replacing both an artifact and its receipt can defeat a plain hash comparison. The receipt also does not embed the input tables, although its run report may contain local paths and source labels and should be treated as private working material.</w:t>
      </w:r>
    </w:p>
    <w:p>
      <w:pPr>
        <w:spacing w:after="120"/>
        <w:jc w:val="both"/>
      </w:pPr>
      <w:r>
        <w:t>The workflow therefore separates refusal reasons from scientific negatives. A malformed query is an input failure; a missing source bridge is an admission failure; a vacuous calibration radius is an uncertainty limitation; and a frozen model that misses its usefulness threshold is a measured negative. None should be erased by trying nearby settings until a favorable status appears. The researcher records the original reason, checks whether the task itself was correctly defined, and changes the protocol only prospectively. When an intervention target remains unidentified, collecting suitable longitudinal or perturbation evidence is a different action from rerunning a composition baseline. This separation is the operational form of the paper's scientific gates: executable arithmetic is useful, but its authority ends at the measurement and validation contract it actually satisfies.</w:t>
      </w:r>
    </w:p>
    <w:p>
      <w:pPr>
        <w:spacing w:after="120"/>
        <w:jc w:val="both"/>
      </w:pPr>
      <w:r>
        <w:t>Implementation anchors are src/microtwin/local_predict.py, src/microtwin/cli.py, src/microtwin/local_calibrated_predict.py, src/microtwin/reliability.py and src/microtwin/run_bundle.py. These anchors describe the current local research workflow, not a deployed access-controlled service. Assay declarations, caller authorization flags and submitted pseudonyms still require source-grounded verification outside the numerical routine. This operational section adds no benchmark outcome and does not close external prediction, calibrated composite reliability, biological intervention validation or replicated discovery.</w:t>
      </w:r>
    </w:p>
    <w:p>
      <w:pPr>
        <w:pStyle w:val="Heading1"/>
      </w:pPr>
      <w:r>
        <w:t>Measurement hierarchy and the unit of a forecast</w:t>
      </w:r>
    </w:p>
    <w:p>
      <w:pPr>
        <w:spacing w:after="120"/>
        <w:jc w:val="both"/>
      </w:pPr>
      <w:r>
        <w:t>A microbiome dataset has several nested units that must remain distinct: an analytical run, a biological specimen, a collection occasion, a participant, and a recruited source family. A matrix column is not automatically the unit of inference. Two sequencing runs can measure one specimen; two aliquots can share one collection; several stools can belong to one person; and two deposited studies can reuse one recruitment. The platform treats the reconstruction of this hierarchy as part of defining the task, before fitting or splitting. A method intended to generalize to a new person must hold that person out, whereas a method intended to transfer to a new recruitment or laboratory needs a source-level boundary. More rows improve measurement of the units already sampled but do not automatically add independent biological replication.</w:t>
      </w:r>
    </w:p>
    <w:p>
      <w:pPr>
        <w:spacing w:after="120"/>
        <w:jc w:val="both"/>
      </w:pPr>
      <w:r>
        <w:t>Compatible raw sequencing runs of one specimen can be summed before composition normalization. The implemented run-collapse routine checks the supplied run-to-sample relationships, requires all run columns to be explained, refuses a run assigned to multiple samples, and excludes identified assembly columns. It also rejects an identifier that is simultaneously a run and an assembly. These checks prevent a pooled assembly from being counted again as an independent measurement beside the reads that generated it. Compatibility of the assays, pipelines and raw count interpretation remains a source requirement. The routine does not verify that requirement and must not be used to sum unrelated abundance units merely because their columns share names.</w:t>
      </w:r>
    </w:p>
    <w:p>
      <w:pPr>
        <w:spacing w:after="120"/>
        <w:jc w:val="both"/>
      </w:pPr>
      <w:r>
        <w:t>A numerical example shows why the order of aggregation matters. Suppose two compatible runs from one hypothetical specimen have counts (90,10) and (1,9) for taxa A and B. Pooling raw counts gives (91,19), with relative abundance of A equal to 91/110, approximately 0.8273. Averaging the two separately normalized runs instead gives A a weight of (0.9+0.1)/2, or 0.5. The second calculation weights the ten-read run equally with the hundred-read run. Neither arithmetic rule can be selected by which later gives a better model score: the source measurement contract determines whether compatible raw reads are being pooled or two genuinely separate measurements are being averaged. These are hypothetical counts, not a new empirical result.</w:t>
      </w:r>
    </w:p>
    <w:p>
      <w:pPr>
        <w:spacing w:after="120"/>
        <w:jc w:val="both"/>
      </w:pPr>
      <w:r>
        <w:t>Technical concentration replicates require a different decision. Repeated injections from one extract measure analytical variation, not repeated biological exposure. Summing their concentrations would usually change the unit and cannot borrow the raw-read pooling rule. A prospectively specified summary, duplicate-quality criterion and quantitation treatment are needed before learning from such measurements. Distinct stools from the same day are also not automatically technical replicates: they can be separate specimens with real within-day variation. The source must identify which level was repeated. The SCFA development task in this paper excludes labeled quality-control duplicates rather than treating them as additional people. The independent high-fiber lead illustrates the separate need to distinguish analytical samples from its participant denominator; it has not supplied an admitted quantitative task here.</w:t>
      </w:r>
    </w:p>
    <w:p>
      <w:pPr>
        <w:spacing w:after="120"/>
        <w:jc w:val="both"/>
      </w:pPr>
      <w:r>
        <w:t>Repeated collection times remain valuable after this distinction. They can estimate a within-person trajectory, expose transient changes, and support a baseline-to-follow-up endpoint. They should not be shuffled across training and test as if they were unrelated people when the target is a new participant. A participant with densely collected stools also should not dominate a population endpoint merely through a larger row count unless that row-weighted target was deliberately chosen. One defensible design scores a fixed participant-level summary and then weights participants equally. Another targets a randomly chosen collection occasion and weights occasions. These answer different questions. A paper must state which population its average describes instead of allowing file layout to choose the estimand.</w:t>
      </w:r>
    </w:p>
    <w:p>
      <w:pPr>
        <w:pStyle w:val="Heading1"/>
      </w:pPr>
      <w:r>
        <w:t>Exposure windows, source boundaries and paired comparisons</w:t>
      </w:r>
    </w:p>
    <w:p>
      <w:pPr>
        <w:spacing w:after="120"/>
        <w:jc w:val="both"/>
      </w:pPr>
      <w:r>
        <w:t>Time labels need the same discipline. A visit label, a collection date, a day since the first dose and a day since the last dose are different coordinates. The local course-design screen takes explicit numerical start and end times, requires a strictly earlier baseline and strictly later follow-up, and selects the nearest eligible samples around the course. Nonnegative timing margins can be added prospectively. A specimen exactly at the start or end does not qualify under those strict inequalities. The routine refuses duplicate submitted source-subject-time coordinates so that technical-replicate resolution is not hidden inside a pairing rule. It never reads outcomes, estimates an antibiotic response, or establishes that the supplied treatment dates are correct.</w:t>
      </w:r>
    </w:p>
    <w:p>
      <w:pPr>
        <w:spacing w:after="120"/>
        <w:jc w:val="both"/>
      </w:pPr>
      <w:r>
        <w:t>The screen also checks whether another submitted course overlaps the selected baseline-to-follow-up window. If another course falls between those observations, the default rule blocks attribution to a single isolated exposure. This is a design check rather than an adjustment model: recording an overlap does not estimate its effect or remove confounding. Unknown courses, adherence, concurrent medication, illness and dietary changes can still matter even when the submitted window passes. A nominal recovery phase cannot replace a verified treatment timeline. The Raymond distinction between ninety days after treatment end and ninety days after first dose, and the Palleja collection-versus-visit and extra-course findings, are concrete source-admission reasons to preserve the original temporal meaning rather than quietly rename the axis.</w:t>
      </w:r>
    </w:p>
    <w:p>
      <w:pPr>
        <w:spacing w:after="120"/>
        <w:jc w:val="both"/>
      </w:pPr>
      <w:r>
        <w:t>Source grouping addresses dependence above the participant. The lineage guard registers documented accession aliases under a shared source and refuses a train, validation or test split that places one known family in multiple partitions. An unknown accession fails rather than becoming independent by default. A separate exact-mirror screen excludes old accessions but labels all remaining records only as candidates with near-duplicate status unchecked. This asymmetry is intentional: finding a known overlap establishes a problem, while failing to find one does not establish independence. A source-family registry needs positive recruitment, sample and processing evidence. Distinct repository URLs, projects or study titles are identifiers to investigate, not independent experiments to count.</w:t>
      </w:r>
    </w:p>
    <w:p>
      <w:pPr>
        <w:spacing w:after="120"/>
        <w:jc w:val="both"/>
      </w:pPr>
      <w:r>
        <w:t>Evaluation aggregation then has to follow the intended boundary. The implemented study-aware comparison computes each submitted study's median candidate error and median comparator error, subtracts them, and averages those study differences with equal study weight. Its bootstrap resamples studies together, not individual rows from within a study. A large source cannot dominate merely because it has many specimens. Nevertheless, supplied study identifiers may still conceal repeated recruitment, related participants or laboratory dependence; the routine marks external-win certification false regardless of its interval. With fewer than two submitted studies it reports insufficient studies and does not manufacture a study-bootstrap interval. These are properties of a statistic, not permission to call a viewed development study external validation.</w:t>
      </w:r>
    </w:p>
    <w:p>
      <w:pPr>
        <w:spacing w:after="120"/>
        <w:jc w:val="both"/>
      </w:pPr>
      <w:r>
        <w:t>Paired losses also do not make every possible contrast equivalent. The difference between two study medians is generally different from the median of samplewise paired differences. Likewise, a mean participant loss can differ from a median taxon loss pooled over participants. These choices are not interchangeable translations of one result. The paired prediction files, sample coverage, outcome mask, weighting rule and comparator selection must all be frozen for the same task. The mouse-level sensitivities earlier in this paper retain the original forecasts and explicitly change the biological aggregation level; they do not rewrite the archived taxon-pair benchmark. A future independent comparison should specify the endpoint and resampling unit before observing whether either aggregation favors the new model.</w:t>
      </w:r>
    </w:p>
    <w:p>
      <w:pPr>
        <w:spacing w:after="120"/>
        <w:jc w:val="both"/>
      </w:pPr>
      <w:r>
        <w:t>Implementation anchors are src/microtwin/sample_collapse.py, src/microtwin/course_design.py, src/microtwin/subject_partition.py, src/microtwin/source_family.py, src/microtwin/mirror_guard.py and src/microtwin/leaderboard_stats.py. This method synthesis introduces no fresh fit, cohort outcome or empirical benchmark. It identifies the contracts required to turn specimen rows into a scientifically interpretable forecast and explains why the archived 160-table audit, the viewed mouse results and the first-period SCFA test retain separate scopes. The remaining external-test and perturbation-validation gates require new qualifying evidence, not a larger count of analytical rows.</w:t>
      </w:r>
    </w:p>
    <w:p>
      <w:pPr>
        <w:pStyle w:val="Heading1"/>
      </w:pPr>
      <w:r>
        <w:t>Vocabulary restriction changes the prediction target</w:t>
      </w:r>
    </w:p>
    <w:p>
      <w:pPr>
        <w:spacing w:after="120"/>
        <w:jc w:val="both"/>
      </w:pPr>
      <w:r>
        <w:t>A fixed-vocabulary composition model cannot represent a community whose measured taxa extend beyond that vocabulary. The transfer-coverage routine measures how much of each submitted count column lies within the training names before any predictive error is calculated. It reports shared-name count, median retained mass and minimum retained mass. The pilot gate uses the minimum rather than the median so that high-coverage specimens do not hide an unsupported specimen. Its default minimum mass of 0.9 and minimum twenty shared genera are prospective planning thresholds, not biologically calibrated guarantees. They must be frozen in a task manifest and supported by the intended use. Passing them establishes only vocabulary eligibility, not prediction accuracy, compatible taxonomy, source independence or reuse rights.</w:t>
      </w:r>
    </w:p>
    <w:p>
      <w:pPr>
        <w:spacing w:after="120"/>
        <w:jc w:val="both"/>
      </w:pPr>
      <w:r>
        <w:t>Consider a hypothetical community with relative abundances A=0.4, B=0.1 and C=0.5, when a predictor knows only A and B. Restricting the observed composition to those known taxa and renormalizing yields A=0.8 and B=0.2. A predictor returning exactly that vector has zero error against the restricted target, yet extending it with C=0 gives a full-community Bray-Curtis error of 0.5 against the original observation. The calculation follows from half the sum of absolute differences between normalized vectors: (0.4+0.1+0.5)/2. Perfect restricted performance can therefore coexist with a large whole-community error. The restriction is not a harmless formatting step; it changes which abundance distribution the model claims to predict. This example is analytical and hypothetical, not a measured result from a new cohort.</w:t>
      </w:r>
    </w:p>
    <w:p>
      <w:pPr>
        <w:spacing w:after="120"/>
        <w:jc w:val="both"/>
      </w:pPr>
      <w:r>
        <w:t>The fixed names themselves are an incomplete measurement bridge. An identical genus string may arise from different taxonomic databases, marker regions, classifier versions and filtering rules. Conversely, different strings can refer to the same biological lineage. The count-mass check deliberately performs no synonym translation and cannot settle either case. A harmonization map must be supported by the source taxonomy and frozen before outcome comparisons; choosing translations because they improve a score would mix target construction with model selection. The archived EMP pilot and HMP input diagnostics remain viewed development evidence. A later correction informed by those diagnostics cannot turn them back into untouched tests, even if the correction is scientifically sensible.</w:t>
      </w:r>
    </w:p>
    <w:p>
      <w:pPr>
        <w:spacing w:after="120"/>
        <w:jc w:val="both"/>
      </w:pPr>
      <w:r>
        <w:t>Filtering unsupported queries also changes the evaluated population. A coverage rate calculated only among accepted rows describes those accepted rows, not all submitted samples. The denominator must therefore preserve candidate samples, excluded samples, scored samples and the exclusion rule. An abstaining system can be useful when it clearly states the range it covers, but it cannot report only its easiest cases and imply unrestricted availability. Thresholds, features and exclusion rules should be chosen without looking at the held-out predictive errors. Input-only filtering avoids one form of selection on error, yet it can still select a particular biological population. The result needs both the conditional performance and the coverage of the intended population.</w:t>
      </w:r>
    </w:p>
    <w:p>
      <w:pPr>
        <w:pStyle w:val="Heading1"/>
      </w:pPr>
      <w:r>
        <w:t>A comparison must preserve the question each tool answers</w:t>
      </w:r>
    </w:p>
    <w:p>
      <w:pPr>
        <w:spacing w:after="120"/>
        <w:jc w:val="both"/>
      </w:pPr>
      <w:r>
        <w:t>An external head-to-head needs more than the same error formula. Both tools must receive information permitted by the same task, produce outputs that answer that task, and be selected using training or validation evidence rather than the final test. A contemporaneous-assemblage predictor conditions on taxa already observed at the prediction occasion. A dynamical forecaster may receive an earlier abundance trajectory and an intervention schedule. Giving one method the later assemblage and the other only the earlier trajectory changes the information set. Such a comparison may be an informative diagnostic, but it is not automatically a fair test of future individualized response. Inputs, horizon, detection policy, available interventions and population must be part of the frozen comparator contract.</w:t>
      </w:r>
    </w:p>
    <w:p>
      <w:pPr>
        <w:spacing w:after="120"/>
        <w:jc w:val="both"/>
      </w:pPr>
      <w:r>
        <w:t>Predictive gain is similarly distinct from mechanistic identification. Correlated taxa can improve a forecast because they share an environment, reflect a common host state or carry redundant measurement information. A fitted interaction term can use that structure without identifying the effect of experimentally changing one taxon. Composition closure adds another distinction: changing the denominator can alter relative abundance even when an organism's absolute quantity stays fixed. A taxon-removal prediction therefore needs a defined intervention, an absolute or relative endpoint, and biological evidence about the response system. The constructed three-species ambiguity witnesses elsewhere in this paper expose one identification problem, but their mathematical existence is not a fitted causal model of a human participant.</w:t>
      </w:r>
    </w:p>
    <w:p>
      <w:pPr>
        <w:spacing w:after="120"/>
        <w:jc w:val="both"/>
      </w:pPr>
      <w:r>
        <w:t>A discovery claim adds requirements beyond forecast usefulness. The proposed biological statement must be distinguishable from prior work, its defining analysis and multiplicity rule must be fixed, and an independent source must reproduce the relevant observation under a compatible measurement contract. Agreement between two algorithms on one previously viewed table is robustness to an analysis choice, not independent biological replication. A source-admission pass likewise does not establish novelty. The result-declaration guard records independence, subject separation, measurement compatibility, rights, protocol timing, comparator eligibility, source-level evidence, multiplicity, prior-art distinction and replication as separate evidence requirements. Even complete submitted records reach manual evidence review, never automatic discovery certification.</w:t>
      </w:r>
    </w:p>
    <w:p>
      <w:pPr>
        <w:spacing w:after="120"/>
        <w:jc w:val="both"/>
      </w:pPr>
      <w:r>
        <w:t>These boundaries explain how the current results should be used. The population baseline supplies an executable reference, internal calibration exposes a limited uncertainty contract, source screens identify exactly where transfer cannot yet be tested, and the measured SCFA development forecast estimates a modest within-study predictive signal while missing its frozen usefulness rule. None can substitute for another. In particular, a good internal score cannot open a blocked source license, a compatible specimen map cannot establish a benchmark win, and a benchmark win would not by itself identify an antibiotic or dietary treatment effect. This section specifies the research questions that remain distinct; it introduces no new cohort scoring or scientific success count. Implementation anchors are src/microtwin/transfer_coverage.py, src/microtwin/coverage_gate.py and src/microtwin/outcome_guard.py, with the archived EMP pilot and HMP input diagnostics as scope records.</w:t>
      </w:r>
    </w:p>
    <w:p>
      <w:pPr>
        <w:pStyle w:val="Heading1"/>
      </w:pPr>
      <w:r>
        <w:t>Synthetic precision test: repeated rows are not new subjects</w:t>
      </w:r>
    </w:p>
    <w:p>
      <w:pPr>
        <w:spacing w:after="120"/>
        <w:jc w:val="both"/>
      </w:pPr>
      <w:r>
        <w:t>The biological-unit concern can be tested quantitatively without opening a new biological outcome. We froze a synthetic experiment in which the true mean paired loss gap is known. For independent subject i and repeated observation j, the gap is delta plus a shared standard-normal subject term weighted by the square root of rho and an independent standard-normal observation term weighted by the square root of one minus rho. Thus rho is the within-subject correlation and each individual observation has variance one. The target is the equally weighted mean subject gap. The grid contains four subject counts (4, 5, 10 and 20), three repeat counts (1, 10 and 25), three correlations (0, 0.5 and 0.9), and two true gaps (0 and 0.25), giving 72 cells. All choices were frozen before computation; repeat count was bounded to 25 rather than the initial planning concept of 100.</w:t>
      </w:r>
    </w:p>
    <w:p>
      <w:pPr>
        <w:spacing w:after="120"/>
        <w:jc w:val="both"/>
      </w:pPr>
      <w:r>
        <w:t>Each cell has 100 independent Monte Carlo panels. For each panel we compute two percentile bootstrap intervals with 199 resamples and the default linear 2.5 and 97.5 percentiles. Naive resampling treats all subject-by-repeat observations as independent rows. Cluster resampling first averages within each subject and resamples those subject means. Bootstrap random draws are separate for the two methods. Coverage means that the interval contains the known true delta; a strictly positive lower endpoint is counted separately. Under delta zero that positive exclusion is a one-sided false-positive diagnostic, not the entire two-sided error rate. Under delta 0.25 it is a detection rate for this constructed model, not a real-cohort power estimate. Mean interval width and coverage Monte Carlo standard error are retained for every cell.</w:t>
      </w:r>
    </w:p>
    <w:p>
      <w:pPr>
        <w:keepNext/>
      </w:pPr>
      <w:r>
        <w:rPr>
          <w:b/>
        </w:rPr>
        <w:t>Table 23. Frozen synthetic null at 25 repeats and correlation 0.9. Each rate is based on 100 panels. Width is in synthetic paired-gap units, not microbiome abundance. This selected slice is illustrative; all 72 cells are retained in the result artifact.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Subjects</w:t>
            </w:r>
          </w:p>
        </w:tc>
        <w:tc>
          <w:tcPr>
            <w:tcW w:type="dxa" w:w="1234"/>
            <w:vAlign w:val="center"/>
          </w:tcPr>
          <w:p>
            <w:pPr>
              <w:jc w:val="left"/>
            </w:pPr>
            <w:r>
              <w:rPr>
                <w:rFonts w:ascii="Times New Roman" w:hAnsi="Times New Roman"/>
                <w:sz w:val="18"/>
              </w:rPr>
              <w:t>Naive coverage</w:t>
            </w:r>
          </w:p>
        </w:tc>
        <w:tc>
          <w:tcPr>
            <w:tcW w:type="dxa" w:w="1234"/>
            <w:vAlign w:val="center"/>
          </w:tcPr>
          <w:p>
            <w:pPr>
              <w:jc w:val="left"/>
            </w:pPr>
            <w:r>
              <w:rPr>
                <w:rFonts w:ascii="Times New Roman" w:hAnsi="Times New Roman"/>
                <w:sz w:val="18"/>
              </w:rPr>
              <w:t>Cluster coverage</w:t>
            </w:r>
          </w:p>
        </w:tc>
        <w:tc>
          <w:tcPr>
            <w:tcW w:type="dxa" w:w="1234"/>
            <w:vAlign w:val="center"/>
          </w:tcPr>
          <w:p>
            <w:pPr>
              <w:jc w:val="left"/>
            </w:pPr>
            <w:r>
              <w:rPr>
                <w:rFonts w:ascii="Times New Roman" w:hAnsi="Times New Roman"/>
                <w:sz w:val="18"/>
              </w:rPr>
              <w:t>Naive positive exclusion</w:t>
            </w:r>
          </w:p>
        </w:tc>
        <w:tc>
          <w:tcPr>
            <w:tcW w:type="dxa" w:w="1234"/>
            <w:vAlign w:val="center"/>
          </w:tcPr>
          <w:p>
            <w:pPr>
              <w:jc w:val="left"/>
            </w:pPr>
            <w:r>
              <w:rPr>
                <w:rFonts w:ascii="Times New Roman" w:hAnsi="Times New Roman"/>
                <w:sz w:val="18"/>
              </w:rPr>
              <w:t>Cluster positive exclusion</w:t>
            </w:r>
          </w:p>
        </w:tc>
        <w:tc>
          <w:tcPr>
            <w:tcW w:type="dxa" w:w="1234"/>
            <w:vAlign w:val="center"/>
          </w:tcPr>
          <w:p>
            <w:pPr>
              <w:jc w:val="left"/>
            </w:pPr>
            <w:r>
              <w:rPr>
                <w:rFonts w:ascii="Times New Roman" w:hAnsi="Times New Roman"/>
                <w:sz w:val="18"/>
              </w:rPr>
              <w:t>Naive width</w:t>
            </w:r>
          </w:p>
        </w:tc>
        <w:tc>
          <w:tcPr>
            <w:tcW w:type="dxa" w:w="1234"/>
            <w:vAlign w:val="center"/>
          </w:tcPr>
          <w:p>
            <w:pPr>
              <w:jc w:val="left"/>
            </w:pPr>
            <w:r>
              <w:rPr>
                <w:rFonts w:ascii="Times New Roman" w:hAnsi="Times New Roman"/>
                <w:sz w:val="18"/>
              </w:rPr>
              <w:t>Cluster width</w:t>
            </w:r>
          </w:p>
        </w:tc>
      </w:tr>
      <w:tr>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0.310</w:t>
            </w:r>
          </w:p>
        </w:tc>
        <w:tc>
          <w:tcPr>
            <w:tcW w:type="dxa" w:w="1234"/>
            <w:vAlign w:val="center"/>
          </w:tcPr>
          <w:p>
            <w:pPr>
              <w:jc w:val="left"/>
            </w:pPr>
            <w:r>
              <w:rPr>
                <w:rFonts w:ascii="Times New Roman" w:hAnsi="Times New Roman"/>
                <w:sz w:val="18"/>
              </w:rPr>
              <w:t>0.810</w:t>
            </w:r>
          </w:p>
        </w:tc>
        <w:tc>
          <w:tcPr>
            <w:tcW w:type="dxa" w:w="1234"/>
            <w:vAlign w:val="center"/>
          </w:tcPr>
          <w:p>
            <w:pPr>
              <w:jc w:val="left"/>
            </w:pPr>
            <w:r>
              <w:rPr>
                <w:rFonts w:ascii="Times New Roman" w:hAnsi="Times New Roman"/>
                <w:sz w:val="18"/>
              </w:rPr>
              <w:t>0.330</w:t>
            </w:r>
          </w:p>
        </w:tc>
        <w:tc>
          <w:tcPr>
            <w:tcW w:type="dxa" w:w="1234"/>
            <w:vAlign w:val="center"/>
          </w:tcPr>
          <w:p>
            <w:pPr>
              <w:jc w:val="left"/>
            </w:pPr>
            <w:r>
              <w:rPr>
                <w:rFonts w:ascii="Times New Roman" w:hAnsi="Times New Roman"/>
                <w:sz w:val="18"/>
              </w:rPr>
              <w:t>0.120</w:t>
            </w:r>
          </w:p>
        </w:tc>
        <w:tc>
          <w:tcPr>
            <w:tcW w:type="dxa" w:w="1234"/>
            <w:vAlign w:val="center"/>
          </w:tcPr>
          <w:p>
            <w:pPr>
              <w:jc w:val="left"/>
            </w:pPr>
            <w:r>
              <w:rPr>
                <w:rFonts w:ascii="Times New Roman" w:hAnsi="Times New Roman"/>
                <w:sz w:val="18"/>
              </w:rPr>
              <w:t>0.340</w:t>
            </w:r>
          </w:p>
        </w:tc>
        <w:tc>
          <w:tcPr>
            <w:tcW w:type="dxa" w:w="1234"/>
            <w:vAlign w:val="center"/>
          </w:tcPr>
          <w:p>
            <w:pPr>
              <w:jc w:val="left"/>
            </w:pPr>
            <w:r>
              <w:rPr>
                <w:rFonts w:ascii="Times New Roman" w:hAnsi="Times New Roman"/>
                <w:sz w:val="18"/>
              </w:rPr>
              <w:t>1.531</w:t>
            </w:r>
          </w:p>
        </w:tc>
      </w:tr>
      <w:tr>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0.870</w:t>
            </w:r>
          </w:p>
        </w:tc>
        <w:tc>
          <w:tcPr>
            <w:tcW w:type="dxa" w:w="1234"/>
            <w:vAlign w:val="center"/>
          </w:tcPr>
          <w:p>
            <w:pPr>
              <w:jc w:val="left"/>
            </w:pPr>
            <w:r>
              <w:rPr>
                <w:rFonts w:ascii="Times New Roman" w:hAnsi="Times New Roman"/>
                <w:sz w:val="18"/>
              </w:rPr>
              <w:t>0.240</w:t>
            </w:r>
          </w:p>
        </w:tc>
        <w:tc>
          <w:tcPr>
            <w:tcW w:type="dxa" w:w="1234"/>
            <w:vAlign w:val="center"/>
          </w:tcPr>
          <w:p>
            <w:pPr>
              <w:jc w:val="left"/>
            </w:pPr>
            <w:r>
              <w:rPr>
                <w:rFonts w:ascii="Times New Roman" w:hAnsi="Times New Roman"/>
                <w:sz w:val="18"/>
              </w:rPr>
              <w:t>0.030</w:t>
            </w:r>
          </w:p>
        </w:tc>
        <w:tc>
          <w:tcPr>
            <w:tcW w:type="dxa" w:w="1234"/>
            <w:vAlign w:val="center"/>
          </w:tcPr>
          <w:p>
            <w:pPr>
              <w:jc w:val="left"/>
            </w:pPr>
            <w:r>
              <w:rPr>
                <w:rFonts w:ascii="Times New Roman" w:hAnsi="Times New Roman"/>
                <w:sz w:val="18"/>
              </w:rPr>
              <w:t>0.311</w:t>
            </w:r>
          </w:p>
        </w:tc>
        <w:tc>
          <w:tcPr>
            <w:tcW w:type="dxa" w:w="1234"/>
            <w:vAlign w:val="center"/>
          </w:tcPr>
          <w:p>
            <w:pPr>
              <w:jc w:val="left"/>
            </w:pPr>
            <w:r>
              <w:rPr>
                <w:rFonts w:ascii="Times New Roman" w:hAnsi="Times New Roman"/>
                <w:sz w:val="18"/>
              </w:rPr>
              <w:t>1.413</w:t>
            </w:r>
          </w:p>
        </w:tc>
      </w:tr>
      <w:tr>
        <w:tc>
          <w:tcPr>
            <w:tcW w:type="dxa" w:w="1234"/>
            <w:vAlign w:val="center"/>
          </w:tcPr>
          <w:p>
            <w:pPr>
              <w:jc w:val="left"/>
            </w:pPr>
            <w:r>
              <w:rPr>
                <w:rFonts w:ascii="Times New Roman" w:hAnsi="Times New Roman"/>
                <w:sz w:val="18"/>
              </w:rPr>
              <w:t>10</w:t>
            </w:r>
          </w:p>
        </w:tc>
        <w:tc>
          <w:tcPr>
            <w:tcW w:type="dxa" w:w="1234"/>
            <w:vAlign w:val="center"/>
          </w:tcPr>
          <w:p>
            <w:pPr>
              <w:jc w:val="left"/>
            </w:pPr>
            <w:r>
              <w:rPr>
                <w:rFonts w:ascii="Times New Roman" w:hAnsi="Times New Roman"/>
                <w:sz w:val="18"/>
              </w:rPr>
              <w:t>0.320</w:t>
            </w:r>
          </w:p>
        </w:tc>
        <w:tc>
          <w:tcPr>
            <w:tcW w:type="dxa" w:w="1234"/>
            <w:vAlign w:val="center"/>
          </w:tcPr>
          <w:p>
            <w:pPr>
              <w:jc w:val="left"/>
            </w:pPr>
            <w:r>
              <w:rPr>
                <w:rFonts w:ascii="Times New Roman" w:hAnsi="Times New Roman"/>
                <w:sz w:val="18"/>
              </w:rPr>
              <w:t>0.870</w:t>
            </w:r>
          </w:p>
        </w:tc>
        <w:tc>
          <w:tcPr>
            <w:tcW w:type="dxa" w:w="1234"/>
            <w:vAlign w:val="center"/>
          </w:tcPr>
          <w:p>
            <w:pPr>
              <w:jc w:val="left"/>
            </w:pPr>
            <w:r>
              <w:rPr>
                <w:rFonts w:ascii="Times New Roman" w:hAnsi="Times New Roman"/>
                <w:sz w:val="18"/>
              </w:rPr>
              <w:t>0.290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1.050</w:t>
            </w:r>
          </w:p>
        </w:tc>
      </w:tr>
      <w:tr>
        <w:tc>
          <w:tcPr>
            <w:tcW w:type="dxa" w:w="1234"/>
            <w:vAlign w:val="center"/>
          </w:tcPr>
          <w:p>
            <w:pPr>
              <w:jc w:val="left"/>
            </w:pPr>
            <w:r>
              <w:rPr>
                <w:rFonts w:ascii="Times New Roman" w:hAnsi="Times New Roman"/>
                <w:sz w:val="18"/>
              </w:rPr>
              <w:t>20</w:t>
            </w:r>
          </w:p>
        </w:tc>
        <w:tc>
          <w:tcPr>
            <w:tcW w:type="dxa" w:w="1234"/>
            <w:vAlign w:val="center"/>
          </w:tcPr>
          <w:p>
            <w:pPr>
              <w:jc w:val="left"/>
            </w:pPr>
            <w:r>
              <w:rPr>
                <w:rFonts w:ascii="Times New Roman" w:hAnsi="Times New Roman"/>
                <w:sz w:val="18"/>
              </w:rPr>
              <w:t>0.310</w:t>
            </w:r>
          </w:p>
        </w:tc>
        <w:tc>
          <w:tcPr>
            <w:tcW w:type="dxa" w:w="1234"/>
            <w:vAlign w:val="center"/>
          </w:tcPr>
          <w:p>
            <w:pPr>
              <w:jc w:val="left"/>
            </w:pPr>
            <w:r>
              <w:rPr>
                <w:rFonts w:ascii="Times New Roman" w:hAnsi="Times New Roman"/>
                <w:sz w:val="18"/>
              </w:rPr>
              <w:t>0.900</w:t>
            </w:r>
          </w:p>
        </w:tc>
        <w:tc>
          <w:tcPr>
            <w:tcW w:type="dxa" w:w="1234"/>
            <w:vAlign w:val="center"/>
          </w:tcPr>
          <w:p>
            <w:pPr>
              <w:jc w:val="left"/>
            </w:pPr>
            <w:r>
              <w:rPr>
                <w:rFonts w:ascii="Times New Roman" w:hAnsi="Times New Roman"/>
                <w:sz w:val="18"/>
              </w:rPr>
              <w:t>0.350</w:t>
            </w:r>
          </w:p>
        </w:tc>
        <w:tc>
          <w:tcPr>
            <w:tcW w:type="dxa" w:w="1234"/>
            <w:vAlign w:val="center"/>
          </w:tcPr>
          <w:p>
            <w:pPr>
              <w:jc w:val="left"/>
            </w:pPr>
            <w:r>
              <w:rPr>
                <w:rFonts w:ascii="Times New Roman" w:hAnsi="Times New Roman"/>
                <w:sz w:val="18"/>
              </w:rPr>
              <w:t>0.050</w:t>
            </w:r>
          </w:p>
        </w:tc>
        <w:tc>
          <w:tcPr>
            <w:tcW w:type="dxa" w:w="1234"/>
            <w:vAlign w:val="center"/>
          </w:tcPr>
          <w:p>
            <w:pPr>
              <w:jc w:val="left"/>
            </w:pPr>
            <w:r>
              <w:rPr>
                <w:rFonts w:ascii="Times New Roman" w:hAnsi="Times New Roman"/>
                <w:sz w:val="18"/>
              </w:rPr>
              <w:t>0.161</w:t>
            </w:r>
          </w:p>
        </w:tc>
        <w:tc>
          <w:tcPr>
            <w:tcW w:type="dxa" w:w="1234"/>
            <w:vAlign w:val="center"/>
          </w:tcPr>
          <w:p>
            <w:pPr>
              <w:jc w:val="left"/>
            </w:pPr>
            <w:r>
              <w:rPr>
                <w:rFonts w:ascii="Times New Roman" w:hAnsi="Times New Roman"/>
                <w:sz w:val="18"/>
              </w:rPr>
              <w:t>0.755</w:t>
            </w:r>
          </w:p>
        </w:tc>
      </w:tr>
    </w:tbl>
    <w:p>
      <w:pPr>
        <w:spacing w:after="120"/>
        <w:jc w:val="both"/>
      </w:pPr>
      <w:r>
        <w:t>In that high-correlation slice, naive coverage stays between 0.27 and 0.32 despite nominal 0.95 intervals. Cluster coverage is 0.81, 0.87, 0.87 and 0.90 as subject count rises from four to twenty. Naive positive exclusion rates range from 0.24 to 0.35; cluster rates range from 0.03 to 0.12. Cluster intervals are wider because they preserve the shared subject component instead of treating repeated rows as new independent information. This result demonstrates a precision failure in the constructed correlated-row setting. It does not establish that cluster resampling has achieved nominal coverage or that twenty subjects suffice for a microbiome trial.</w:t>
      </w:r>
    </w:p>
    <w:p>
      <w:pPr>
        <w:spacing w:after="120"/>
        <w:jc w:val="both"/>
      </w:pPr>
      <w:r>
        <w:t>The negative controls prevent a universal claim about bootstrap superiority. At zero correlation with 25 repeats and four subjects, naive coverage is 1.00 in these 100 panels while cluster coverage is 0.84; with five subjects the values are 0.89 and 0.81. Independent repeated errors supply real additional information in this special model, while a small collection of subject averages makes the percentile bootstrap vulnerable to its finite-sample approximation. Across the complete null grid, cluster coverage ranges from 0.74 to 0.98; across the positive-gap grid it ranges from 0.72 to 0.96. The variation, and the small Monte Carlo count, prohibit treating a single cell as an exact coverage guarantee. A reported Monte Carlo standard error of zero at an observed rate of zero or one is only the plug-in estimate, not proof that the underlying event probability is exactly zero or one.</w:t>
      </w:r>
    </w:p>
    <w:p>
      <w:pPr>
        <w:spacing w:after="120"/>
        <w:jc w:val="both"/>
      </w:pPr>
      <w:r>
        <w:t>This experiment also has a simple variance interpretation. Under the declared equal-repeat normal model, the sample mean variance is rho/n plus (1-rho)/(n times repeats). At zero correlation, repeats reduce both components to independent observation noise. At positive correlation, increasing repeats cannot eliminate the shared subject term rho/n. Increasing independent subjects reduces that term; adding more taxon-time rows within the same subject does not. This identity follows from the construction, not from a fitted microbiome covariance model. In real compositional or longitudinal data, unequal repeats, missingness, treatment allocation, model fitting, heavy tails and source shifts can alter both the relevant target and the uncertainty calculation.</w:t>
      </w:r>
    </w:p>
    <w:p>
      <w:pPr>
        <w:spacing w:after="120"/>
        <w:jc w:val="both"/>
      </w:pPr>
      <w:r>
        <w:t>The run processed 7,200 panels and 14,400 intervals in 2.977 seconds under a 120-second single-thread local cap. No biological input, training outcome or new model fit was used. The frozen protocol and code were committed before scoring. Complete results are results/hierarchical_precision_20261007.json, protocol results/PREREG_20261007_hierarchical_precision.md, and script scripts/hierarchical_precision.py. The recorded useful_win=False reflects that this is a methodological sensitivity study, not a biological benchmark. Neither resampling method is new, and the result does not establish priority, a universal minimum sample size or replicated ecological discovery. It gives a concrete reason to retain biological-unit grouping while separately testing whether the chosen small-sample interval method is adequate.</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24.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25.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26.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27.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28.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29.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30.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31.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32.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33.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34.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35.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36.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37.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38.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39.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40.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2"/>
      </w:pPr>
      <w:r>
        <w:t>7.1 Operational ambiguity witnesses: an invention candidate tested only in constructed systems</w:t>
      </w:r>
    </w:p>
    <w:p>
      <w:pPr>
        <w:spacing w:after="120"/>
        <w:jc w:val="both"/>
      </w:pPr>
      <w:r>
        <w:t>The expanded platform goal raises a question that cross-sectional assemblage prediction alone cannot answer: if several ecological mechanisms match an observed community, could they disagree about a species-removal outcome? Structural identifiability of microbial community models has been studied, including cases where parameters cannot be determined from relative-abundance measurements. Ensemble ecosystem modelling has also generated feasible and stable gLV parameter sets and forecast management interventions. These are important prior art, not work invented here. See https://pmc.ncbi.nlm.nih.gov/articles/PMC10135947/ and https://journals.plos.org/ploscompbiol/article?id=10.1371/journal.pcbi.1011976 . Our bounded prototype packages a pair of explicit models as an inspectable disagreement witness instead of averaging them into a deceptively precise point forecast. The witness format is an engineering candidate, not a literature-priority or new-algorithm claim.</w:t>
      </w:r>
    </w:p>
    <w:p>
      <w:pPr>
        <w:spacing w:after="120"/>
        <w:jc w:val="both"/>
      </w:pPr>
      <w:r>
        <w:t>The first analytically soluble construction uses three absolute-abundance species with observed positive equilibrium (1,1,1), diagonal interaction strengths -1, and only one variable off-diagonal effect c from species 3 to species 1. Intrinsic growth rates are (1-c,1,1), so all values of c in the declared interval reproduce the same baseline equilibrium. Permanent removal of species 3 gives a surviving two-species equilibrium (1-c,1); hence the contrast for species 1 is -c. Choosing c=-0.4 and +0.4 yields opposite signs while the original observed state is identical. This proves non-uniqueness within the specified synthetic family, not that two such systems describe any actual microbiome. The five interval tests were frozen before computation: one interval crossed zero and generated an explicit pair, while four one-sided or zero-bound cases abstained. The output includes rates, matrices, pre- and post-removal equilibrium residuals, and Jacobian eigenvalues; these are independently recalculated in tests.</w:t>
      </w:r>
    </w:p>
    <w:p>
      <w:pPr>
        <w:spacing w:after="120"/>
        <w:jc w:val="both"/>
      </w:pPr>
      <w:r>
        <w:t>The next checker accepts a finite list of user-supplied three-species gLV candidate matrices and growth rates, verifies the supplied positive baseline as an equilibrium, solves the positive survivor equilibrium, rejects singular or unstable models, and reports a positive/negative witness pair when both signs occur. Forty constructed two-candidate panels were generated from a fixed seed and simple diagonally dominant matrices, half deliberately sign-opposing and half deliberately one-sided. The checker returned witnesses for the 20 opposing pairs and abstained on the 20 one-sided pairs; three separately injected invalid models were rejected. A deliberately weak flag that treats any parameter difference as ambiguous fired on all 40 panels, but is not a published-method comparator. The perfect toy-panel count reflects construction, not predictive accuracy or real-world sensitivity. A missing witness in a finite submitted set does not prove a continuous class agrees.</w:t>
      </w:r>
    </w:p>
    <w:p>
      <w:pPr>
        <w:spacing w:after="120"/>
        <w:jc w:val="both"/>
      </w:pPr>
      <w:r>
        <w:t>A soundness correction matters even in the toy. A negative Jacobian eigenvalue at a candidate post-removal equilibrium only proves local stability. It does not prove that the actual survivor state immediately after removal belongs to its attraction basin. Thus the default checker calls its outputs stable-equilibrium contrasts, not realized intervention effects. An optional stricter mode checks that the symmetric part of the two-species survivor interaction matrix is negative definite. In an exact positive gLV with a positive survivor equilibrium, the standard weighted Volterra Lyapunov function has derivative equal to the survivor-state deviation transposed against that symmetric part and itself. Strict negativity supplies global convergence from any positive survivor starting point in that exact model. The optional mode retained all 20 constructed opposing witnesses and abstained on all 20 one-sided pairs; a locally stable example that fails this stronger sufficient condition is rejected in strict mode. Its rejection is not evidence that the trajectory truly diverges. The proof and test rule are in results/PREREG_20260928_lyapunov_reachability.md.</w:t>
      </w:r>
    </w:p>
    <w:p>
      <w:pPr>
        <w:spacing w:after="120"/>
        <w:jc w:val="both"/>
      </w:pPr>
      <w:r>
        <w:t>These prototypes do not choose a biologically admissible model set, measure absolute abundance for a patient, estimate growth or interaction parameters, cover alternative attractors outside the checked family, or validate a removal experiment. They cannot advise treatment, certify a keystone species, or demonstrate algorithmic priority over existing ensemble and identifiability methods. To make the tool scientifically useful, a future study would need independent parameter constraints, measured pre- and post-perturbation trajectories, source- and subject-disjoint testing, negative controls, and a matched comparison to established ensemble forecasts and robust identifiability tools. A good witness would then make an evidence gap visible; it would not by itself solve that gap. The existing predictive audit, the newly exact assay provenance, and the toy witness therefore occupy three different evidence levels and should not be added together as an external benchmark win or replicated discovery.</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41.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Historical blind reproduction snapshot (2026-09-26, before subsequent manuscript expansion): fresh git clone of the repository into an empty directory, then a single command (python3 paper/build_paper.py) regenerated the paper end to end from the committed result files: 22 equations, 27 tables, 3 figures, matching that date's working-tree build, not the current expanded draft;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(public).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42.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p>
      <w:pPr>
        <w:spacing w:after="120"/>
        <w:jc w:val="both"/>
      </w:pPr>
      <w:r>
        <w:t>Thriene K, Stanislas V, et al. Impact of Yogurt and Rolled Oats Consumption on the Gut Microbiome: A Randomized Crossover Study Displaying Individual Responses and General Resilience. Journal of Nutrition 2026;156(4):101408. doi:10.1016/j.tjnut.2026.101408. https://pmc.ncbi.nlm.nih.gov/articles/PMC13084677/</w:t>
      </w:r>
    </w:p>
    <w:p>
      <w:pPr>
        <w:spacing w:after="120"/>
        <w:jc w:val="both"/>
      </w:pPr>
      <w:r>
        <w:t>SCFA data and analytical report, yogurt and rolled oats intervention. Zenodo record 15363886, CC BY 4.0. https://zenodo.org/records/15363886</w:t>
      </w:r>
    </w:p>
    <w:p>
      <w:pPr>
        <w:spacing w:after="120"/>
        <w:jc w:val="both"/>
      </w:pPr>
      <w:r>
        <w:t>Hagan T, et al. Antibiotics-driven gut microbiome perturbation alters immunity to vaccines in humans. Cell 2019. https://pmc.ncbi.nlm.nih.gov/articles/PMC6750738/</w:t>
      </w:r>
    </w:p>
    <w:p>
      <w:pPr>
        <w:spacing w:after="120"/>
        <w:jc w:val="both"/>
      </w:pPr>
      <w:r>
        <w:t>Palleja A, et al. Recovery of gut microbiota of healthy adults following antibiotic exposure. Nature Microbiology 2018. https://www.nature.com/articles/s41564-018-0257-9</w:t>
      </w:r>
    </w:p>
    <w:p>
      <w:pPr>
        <w:spacing w:after="120"/>
        <w:jc w:val="both"/>
      </w:pPr>
      <w:r>
        <w:t>Raymond F, et al. The initial state of the human gut microbiome determines its reshaping by antibiotics. ISME Journal 2016;10(3):707-720 (online September 11, 2015). doi:10.1038/ismej.2015.148. https://pmc.ncbi.nlm.nih.gov/articles/PMC4817689/</w:t>
      </w:r>
    </w:p>
    <w:p>
      <w:pPr>
        <w:spacing w:after="120"/>
        <w:jc w:val="both"/>
      </w:pPr>
      <w:r>
        <w:t>Zaura E, et al. Same Exposure but Two Radically Different Responses to Antibiotics: Resilience of the Salivary Microbiome versus Long-Term Microbial Shifts in Feces. mBio 2015;6(6):e01693-15. doi:10.1128/mBio.01693-15. https://pmc.ncbi.nlm.nih.gov/articles/PMC4659469/</w:t>
      </w:r>
    </w:p>
    <w:p>
      <w:pPr>
        <w:spacing w:after="120"/>
        <w:jc w:val="both"/>
      </w:pPr>
      <w:r>
        <w:t>Guthrie L, et al. Impact of a 7-day homogeneous diet on interpersonal variation in human gut microbiomes and metabolomes. Cell Host and Microbe 2022. https://www.cell.com/cell-host-microbe/fulltext/S1931-3128(22)00263-3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