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DRAFT: Interaction Models Lower Prediction Error in 121 of 160 MGnify Study Tables: a Microbiome Benchmark Audit</w:t>
      </w:r>
    </w:p>
    <w:p>
      <w:pPr>
        <w:jc w:val="center"/>
      </w:pPr>
      <w:r>
        <w:t>Udita Phookan</w:t>
      </w:r>
    </w:p>
    <w:p>
      <w:pPr>
        <w:pStyle w:val="Heading1"/>
      </w:pPr>
      <w:r>
        <w:t>Executive summary</w:t>
      </w:r>
    </w:p>
    <w:p>
      <w:pPr>
        <w:spacing w:after="120"/>
        <w:jc w:val="both"/>
      </w:pPr>
      <w:r>
        <w:t>The positive result in this archived within-study audit is a predictive one: an interaction-augmented model lowers held-out composition error against a calibrated population prior in 121 of 160 MGnify study tables with per-study paired Wilcoxon tests and BH adjustment across all 160 study tables; the median relative gain across studies is 14.5%. This is not a causal interaction finding or a win on an untouched external source. The 160 MGnify entries are one study-table type with mixed assay modalities and possible biological-source overlap. This summary gives the paper's result hierarchy; the tests and exceptions remain below.</w:t>
      </w:r>
    </w:p>
    <w:p>
      <w:pPr>
        <w:spacing w:after="120"/>
        <w:jc w:val="both"/>
      </w:pPr>
      <w:r>
        <w:t>Two human cNODE tables do not distinguish the published interaction model's error from a simple presence-only null interval on their published-versus-recomputed comparison. Four and five MDSINE2 mice make the simple training-population interpolation baseline competitive, but neither subject-taxon pairs nor mouse-cohort contrasts supply independent validation. The original prediction that detection-only scoring explained its performance was falsified by all-timepoint scoring. The apparent anaerobe-keystone pattern fails alternate network definitions; the CatBoost+SHAP disease-literature proxy analysis is a redirected, exploratory result, not a replicated ecological discovery.</w:t>
      </w:r>
    </w:p>
    <w:p>
      <w:pPr>
        <w:pStyle w:val="Heading1"/>
      </w:pPr>
      <w:r>
        <w:t>Abstract</w:t>
      </w:r>
    </w:p>
    <w:p>
      <w:pPr>
        <w:spacing w:after="120"/>
        <w:jc w:val="both"/>
      </w:pPr>
      <w:r>
        <w:t>A calibrated population prior and an interaction-augmented model were compared within 160 MGnify study tables. The interaction model reduced held-out composition error in 121 of 160 tables with per-study paired Wilcoxon tests and BH adjustment across all 160 study tables; median relative error reduction across tables was 14.5%. This is a positive predictive result on previously analyzed, heterogeneous tables, not a causal interaction estimate or an untouched external-source win. It does not identify independent cohorts across the MGnify accession list.</w:t>
      </w:r>
    </w:p>
    <w:p>
      <w:pPr>
        <w:spacing w:after="120"/>
        <w:jc w:val="both"/>
      </w:pPr>
      <w:r>
        <w:t>The six cNODE ecosystem tables give a second test of simple baselines. Published cNODE medians for two human-associated tables fall within the presence-null bootstrap interval; the local cNODE implementation does not exactly reproduce the published medians, so these are not same-code head-to-heads. On released MDSINE2 data, a simple training-population trajectory interpolator reaches median log10 RMSE 0.692 versus full MDSINE2 1.093 in five UC-donor mice; in four healthy-donor mice it ties MDSINE2 without modules (0.919 versus 0.913) and loses to RA-MDSINE2 without modules (0.883). Subject-taxon rows are clustered within mice. All-timepoint scoring did not erase the baseline's performance, falsifying the proposed detection-only-metric explanation.</w:t>
      </w:r>
    </w:p>
    <w:p>
      <w:pPr>
        <w:spacing w:after="120"/>
        <w:jc w:val="both"/>
      </w:pPr>
      <w:r>
        <w:t>Exploratory keystone analyses did not yield a method-robust ecological discovery. An anaerobe association in ridge-inferred networks failed in graphical-lasso and betweenness networks. A downstream CatBoost+SHAP score fit a BugSigDB disease-literature proxy better than the ridge score, but followed failed primary tests and lacks untouched validation. This work offers a predictive audit and transparent failures, not a personalized or perturbation-validated digital twin. The expanded platform and independent discovery remain open goals.</w:t>
      </w:r>
    </w:p>
    <w:p>
      <w:pPr>
        <w:spacing w:after="120"/>
        <w:jc w:val="both"/>
      </w:pPr>
      <w:r>
        <w:t>The measured extension is a first-period forecast of eight stool SCFA concentrations from a CC BY 4.0 yogurt/oats deposit, evaluated within one study on 84 eligible held-out submitted subjects. A fixed ridge model has standardized log error 0.702517 versus persistence 0.798983, same-arm mean change 0.806896 and nearest-three donors 0.775684. Improvements are 12.07%, 12.94% and 9.43%; useful_win=False because the nearest-three gain misses the frozen 10% threshold. This is a development result, not independent replication, taxonomic twin validation, a causal diet effect or a leading-tool comparison. The local research workflow and admission gates are executable, but the hosted platform, external benchmark, calibrated reliability composite and replicated discovery remain unfinished. This document is a draft; its physical page count does not certify fifty substantive body pages.</w:t>
      </w:r>
    </w:p>
    <w:p>
      <w:pPr>
        <w:pStyle w:val="Heading1"/>
      </w:pPr>
      <w:r>
        <w:t>1. Introduction</w:t>
      </w:r>
    </w:p>
    <w:p>
      <w:pPr>
        <w:spacing w:after="120"/>
        <w:jc w:val="both"/>
      </w:pPr>
      <w:r>
        <w:t>Research candidates for 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 conditional-loss analysis plus diagnostics that falsify the proposed scoring-only explanation.</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proposed contribution is the auditing framework and its documented falsification discipline; literature priority is not established here. Neither a single model nor a benchmark re-run is presented as a new biological discovery.</w:t>
      </w:r>
    </w:p>
    <w:p>
      <w:pPr>
        <w:spacing w:after="120"/>
        <w:jc w:val="both"/>
      </w:pPr>
      <w:r>
        <w:t>The paper's hierarchy: the primary contribution is the predictive audit framework (does a twin beat ecological priors, and when). The major findings are that some benchmarks collapse to ecological priors (human cNODE datasets, the MDSINE2 UC cohort) while the archived within-table procedure detects predictive interaction-model gains in 121 of 160 MGnify tables. Those tables have not been certified as independent external biological studies, and the gains do not identify causal interactions. The secondary exploration is the biological-discovery programme, which mostly fails replication and is reported as such.</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This composition predictor is a research component, not a personalized perturbation-validated digital twin. It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simple training-population trajectory interpolator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Conditional-loss target and its explanatory limit</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conditional-loss identity describes an appropriate target for the mean; it does not establish that detection-only scoring explains the observed model ranking. The later all-timepoint diagnostic falsified that scoring-only explanation. The identity is: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Original benchmark inputs appear in Table 1, with 160 archived MGnify tables listed in Appendix A. The former count of 169 items combines six cNODE matrices, two mouse cohorts, one derivative Source Data comparison and 160 MGnify records. It is an inventory count, not 169 independent primary biological datasets: the Source Data comparison derives from the mouse benchmark, and source-family independence remains unresolved for the archive. The later measured SCFA development deposit is described separately. Source data are public, while the local analysis performs the explicitly described normalization, filtering and aggregation. Secondary trait and literature reference tables are not independent cohorts.</w:t>
      </w:r>
    </w:p>
    <w:p>
      <w:pPr>
        <w:keepNext/>
      </w:pPr>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keepNext/>
      </w:pPr>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archived early pytest suite ran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 an association model fitted on observational abundances, not a validated causal interaction network -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pPr>
        <w:keepNext/>
      </w:pPr>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A narrow study-title pattern indicating a metagenome assembly flags 33/41 digestive-system records and 0/119 records outside that biome. This flag does not certify assay type for the 127 unflagged studies, and absence of a phrase does not prove an amplicon assay. The eight unflagged digestive tables have median relative gain 0.210 and eight original-BH interaction wins; non-digestive tables have median gain 0.192 (one undefined relative-gain denominator). This is a viewed, noncausal association confounded by source, assay, pipeline and biome, not an amplicon-only external validation. Earlier audit prose stated 2/118 non-gut assemblies and 0.184 median elsewhere; the denominator was internally inconsistent and neither value reproduced under the now-pinned title rule. We withdraw that comparison rather than treating an unflagged title as confirmed amplicon. The cNODE human-table null (Section 5.4) remains task-specific and does not imply that human microbiomes lack useful predictive interaction features.</w:t>
      </w:r>
    </w:p>
    <w:p>
      <w:pPr>
        <w:pStyle w:val="Heading3"/>
      </w:pPr>
      <w:r>
        <w:t>5.1.1 Original-project identity sensitivity and limits</w:t>
      </w:r>
    </w:p>
    <w:p>
      <w:pPr>
        <w:spacing w:after="120"/>
        <w:jc w:val="both"/>
      </w:pPr>
      <w:r>
        <w:t>As a post-verdict, exploratory source-family audit we asked whether a study-table accession can stand in for an independent original project. Before computing this sensitivity, we fixed a lexical selector: parse a single PRJNA/PRJEB/PRJDB token from each MGnify study name, assign tokenless or ambiguous names distinct unresolved labels, then retain the lowest MGYS identifier per known project. The old 160-table BH correction is held fixed; it is not recalculated after selection. This is a source-identity sensitivity on viewed data, not a new model fit or an untouched validation cohort.</w:t>
      </w:r>
    </w:p>
    <w:p>
      <w:pPr>
        <w:keepNext/>
      </w:pPr>
      <w:r>
        <w:rPr>
          <w:b/>
        </w:rPr>
        <w:t>Table 4. Exploratory project-identity sensitivity. Wins are original 160-study FDR calls; 131/160 rows lack a unique original-project token, so 'one per' does not mean independent families.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identity group</w:t>
            </w:r>
          </w:p>
        </w:tc>
        <w:tc>
          <w:tcPr>
            <w:tcW w:type="dxa" w:w="2160"/>
            <w:vAlign w:val="center"/>
          </w:tcPr>
          <w:p>
            <w:pPr>
              <w:jc w:val="left"/>
            </w:pPr>
            <w:r>
              <w:rPr>
                <w:rFonts w:ascii="Times New Roman" w:hAnsi="Times New Roman"/>
                <w:sz w:val="18"/>
              </w:rPr>
              <w:t>study tables</w:t>
            </w:r>
          </w:p>
        </w:tc>
        <w:tc>
          <w:tcPr>
            <w:tcW w:type="dxa" w:w="2160"/>
            <w:vAlign w:val="center"/>
          </w:tcPr>
          <w:p>
            <w:pPr>
              <w:jc w:val="left"/>
            </w:pPr>
            <w:r>
              <w:rPr>
                <w:rFonts w:ascii="Times New Roman" w:hAnsi="Times New Roman"/>
                <w:sz w:val="18"/>
              </w:rPr>
              <w:t>original FDR interaction wins</w:t>
            </w:r>
          </w:p>
        </w:tc>
        <w:tc>
          <w:tcPr>
            <w:tcW w:type="dxa" w:w="2160"/>
            <w:vAlign w:val="center"/>
          </w:tcPr>
          <w:p>
            <w:pPr>
              <w:jc w:val="left"/>
            </w:pPr>
            <w:r>
              <w:rPr>
                <w:rFonts w:ascii="Times New Roman" w:hAnsi="Times New Roman"/>
                <w:sz w:val="18"/>
              </w:rPr>
              <w:t>median relative gain</w:t>
            </w:r>
          </w:p>
        </w:tc>
      </w:tr>
      <w:tr>
        <w:tc>
          <w:tcPr>
            <w:tcW w:type="dxa" w:w="2160"/>
            <w:vAlign w:val="center"/>
          </w:tcPr>
          <w:p>
            <w:pPr>
              <w:jc w:val="left"/>
            </w:pPr>
            <w:r>
              <w:rPr>
                <w:rFonts w:ascii="Times New Roman" w:hAnsi="Times New Roman"/>
                <w:sz w:val="18"/>
              </w:rPr>
              <w:t>original audit</w:t>
            </w:r>
          </w:p>
        </w:tc>
        <w:tc>
          <w:tcPr>
            <w:tcW w:type="dxa" w:w="2160"/>
            <w:vAlign w:val="center"/>
          </w:tcPr>
          <w:p>
            <w:pPr>
              <w:jc w:val="left"/>
            </w:pPr>
            <w:r>
              <w:rPr>
                <w:rFonts w:ascii="Times New Roman" w:hAnsi="Times New Roman"/>
                <w:sz w:val="18"/>
              </w:rPr>
              <w:t>160</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0.145</w:t>
            </w:r>
          </w:p>
        </w:tc>
      </w:tr>
      <w:tr>
        <w:tc>
          <w:tcPr>
            <w:tcW w:type="dxa" w:w="2160"/>
            <w:vAlign w:val="center"/>
          </w:tcPr>
          <w:p>
            <w:pPr>
              <w:jc w:val="left"/>
            </w:pPr>
            <w:r>
              <w:rPr>
                <w:rFonts w:ascii="Times New Roman" w:hAnsi="Times New Roman"/>
                <w:sz w:val="18"/>
              </w:rPr>
              <w:t>one per parsable original project</w:t>
            </w:r>
          </w:p>
        </w:tc>
        <w:tc>
          <w:tcPr>
            <w:tcW w:type="dxa" w:w="2160"/>
            <w:vAlign w:val="center"/>
          </w:tcPr>
          <w:p>
            <w:pPr>
              <w:jc w:val="left"/>
            </w:pPr>
            <w:r>
              <w:rPr>
                <w:rFonts w:ascii="Times New Roman" w:hAnsi="Times New Roman"/>
                <w:sz w:val="18"/>
              </w:rPr>
              <w:t>159</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0.146</w:t>
            </w:r>
          </w:p>
        </w:tc>
      </w:tr>
    </w:tbl>
    <w:p>
      <w:pPr>
        <w:spacing w:after="120"/>
        <w:jc w:val="both"/>
      </w:pPr>
      <w:r>
        <w:t>Only 29 of 160 study names contain one extractable original project token. Two records, MGYS00006825 and MGYS00006862, both name PRJNA715245 and have discordant FDR win status. Live MGnify sample lists contain 197 and 84 different SRS IDs with no exact accession intersection: the pair shares a stated original project but is not an exact-sample duplicate. Keeping one project row by lexical accession removes one distinct-sample table, leaving 159 provisional families and 121 original-FDR interaction wins; the median relative gain changes from 14.52% to 14.62%. The unchanged win count does not establish 121 independent families. The 131 unresolved study names may hide other mirrors, source aliases, or shared subjects; SRS set difference also does not prove participant independence. Parent accessions and file-column biological units need a full crosswalk before a source-family leaderboard. See results/PREREG_20260927_source_family_sensitivity.md and results/mgnify_family_sensitivity.json.</w:t>
      </w:r>
    </w:p>
    <w:p>
      <w:pPr>
        <w:pStyle w:val="Heading3"/>
      </w:pPr>
      <w:r>
        <w:t>5.1.2 Descriptive assay-title stratification</w:t>
      </w:r>
    </w:p>
    <w:p>
      <w:pPr>
        <w:spacing w:after="120"/>
        <w:jc w:val="both"/>
      </w:pPr>
      <w:r>
        <w:t>To show how much the positive 121/160 predictive audit relies on study titles suggestive of metagenome assemblies, we froze a narrow assembly-phrase rule and joined the original manifest and BH result tables one to one. The original 160-table BH q-values remain unchanged, including the one record with zero prior and interaction medians; that record contributes a no-difference call but has undefined relative gain and is omitted only from the finite relative-gain median. This is a post-hoc descriptive stratification of already viewed data, not a fresh significance analysis or proof of a platform effect.</w:t>
      </w:r>
    </w:p>
    <w:p>
      <w:pPr>
        <w:keepNext/>
      </w:pPr>
      <w:r>
        <w:rPr>
          <w:b/>
        </w:rPr>
        <w:t>Table 5. Viewed MGnify title-flag sensitivity. 'Unflagged' means unknown assay, not verified amplicon; calls retain correction across the entire 160-study audit.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study-title category</w:t>
            </w:r>
          </w:p>
        </w:tc>
        <w:tc>
          <w:tcPr>
            <w:tcW w:type="dxa" w:w="1234"/>
            <w:vAlign w:val="center"/>
          </w:tcPr>
          <w:p>
            <w:pPr>
              <w:jc w:val="left"/>
            </w:pPr>
            <w:r>
              <w:rPr>
                <w:rFonts w:ascii="Times New Roman" w:hAnsi="Times New Roman"/>
                <w:sz w:val="18"/>
              </w:rPr>
              <w:t>tables</w:t>
            </w:r>
          </w:p>
        </w:tc>
        <w:tc>
          <w:tcPr>
            <w:tcW w:type="dxa" w:w="1234"/>
            <w:vAlign w:val="center"/>
          </w:tcPr>
          <w:p>
            <w:pPr>
              <w:jc w:val="left"/>
            </w:pPr>
            <w:r>
              <w:rPr>
                <w:rFonts w:ascii="Times New Roman" w:hAnsi="Times New Roman"/>
                <w:sz w:val="18"/>
              </w:rPr>
              <w:t>BH interaction wins</w:t>
            </w:r>
          </w:p>
        </w:tc>
        <w:tc>
          <w:tcPr>
            <w:tcW w:type="dxa" w:w="1234"/>
            <w:vAlign w:val="center"/>
          </w:tcPr>
          <w:p>
            <w:pPr>
              <w:jc w:val="left"/>
            </w:pPr>
            <w:r>
              <w:rPr>
                <w:rFonts w:ascii="Times New Roman" w:hAnsi="Times New Roman"/>
                <w:sz w:val="18"/>
              </w:rPr>
              <w:t>BH prior wins</w:t>
            </w:r>
          </w:p>
        </w:tc>
        <w:tc>
          <w:tcPr>
            <w:tcW w:type="dxa" w:w="1234"/>
            <w:vAlign w:val="center"/>
          </w:tcPr>
          <w:p>
            <w:pPr>
              <w:jc w:val="left"/>
            </w:pPr>
            <w:r>
              <w:rPr>
                <w:rFonts w:ascii="Times New Roman" w:hAnsi="Times New Roman"/>
                <w:sz w:val="18"/>
              </w:rPr>
              <w:t>neither</w:t>
            </w:r>
          </w:p>
        </w:tc>
        <w:tc>
          <w:tcPr>
            <w:tcW w:type="dxa" w:w="1234"/>
            <w:vAlign w:val="center"/>
          </w:tcPr>
          <w:p>
            <w:pPr>
              <w:jc w:val="left"/>
            </w:pPr>
            <w:r>
              <w:rPr>
                <w:rFonts w:ascii="Times New Roman" w:hAnsi="Times New Roman"/>
                <w:sz w:val="18"/>
              </w:rPr>
              <w:t>median relative gain</w:t>
            </w:r>
          </w:p>
        </w:tc>
        <w:tc>
          <w:tcPr>
            <w:tcW w:type="dxa" w:w="1234"/>
            <w:vAlign w:val="center"/>
          </w:tcPr>
          <w:p>
            <w:pPr>
              <w:jc w:val="left"/>
            </w:pPr>
            <w:r>
              <w:rPr>
                <w:rFonts w:ascii="Times New Roman" w:hAnsi="Times New Roman"/>
                <w:sz w:val="18"/>
              </w:rPr>
              <w:t>undefined relative gain</w:t>
            </w:r>
          </w:p>
        </w:tc>
      </w:tr>
      <w:tr>
        <w:tc>
          <w:tcPr>
            <w:tcW w:type="dxa" w:w="1234"/>
            <w:vAlign w:val="center"/>
          </w:tcPr>
          <w:p>
            <w:pPr>
              <w:jc w:val="left"/>
            </w:pPr>
            <w:r>
              <w:rPr>
                <w:rFonts w:ascii="Times New Roman" w:hAnsi="Times New Roman"/>
                <w:sz w:val="18"/>
              </w:rPr>
              <w:t>unflagged (unknown)</w:t>
            </w:r>
          </w:p>
        </w:tc>
        <w:tc>
          <w:tcPr>
            <w:tcW w:type="dxa" w:w="1234"/>
            <w:vAlign w:val="center"/>
          </w:tcPr>
          <w:p>
            <w:pPr>
              <w:jc w:val="left"/>
            </w:pPr>
            <w:r>
              <w:rPr>
                <w:rFonts w:ascii="Times New Roman" w:hAnsi="Times New Roman"/>
                <w:sz w:val="18"/>
              </w:rPr>
              <w:t>127</w:t>
            </w:r>
          </w:p>
        </w:tc>
        <w:tc>
          <w:tcPr>
            <w:tcW w:type="dxa" w:w="1234"/>
            <w:vAlign w:val="center"/>
          </w:tcPr>
          <w:p>
            <w:pPr>
              <w:jc w:val="left"/>
            </w:pPr>
            <w:r>
              <w:rPr>
                <w:rFonts w:ascii="Times New Roman" w:hAnsi="Times New Roman"/>
                <w:sz w:val="18"/>
              </w:rPr>
              <w:t>108</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16</w:t>
            </w:r>
          </w:p>
        </w:tc>
        <w:tc>
          <w:tcPr>
            <w:tcW w:type="dxa" w:w="1234"/>
            <w:vAlign w:val="center"/>
          </w:tcPr>
          <w:p>
            <w:pPr>
              <w:jc w:val="left"/>
            </w:pPr>
            <w:r>
              <w:rPr>
                <w:rFonts w:ascii="Times New Roman" w:hAnsi="Times New Roman"/>
                <w:sz w:val="18"/>
              </w:rPr>
              <w:t>0.201</w:t>
            </w:r>
          </w:p>
        </w:tc>
        <w:tc>
          <w:tcPr>
            <w:tcW w:type="dxa" w:w="1234"/>
            <w:vAlign w:val="center"/>
          </w:tcPr>
          <w:p>
            <w:pPr>
              <w:jc w:val="left"/>
            </w:pPr>
            <w:r>
              <w:rPr>
                <w:rFonts w:ascii="Times New Roman" w:hAnsi="Times New Roman"/>
                <w:sz w:val="18"/>
              </w:rPr>
              <w:t>1</w:t>
            </w:r>
          </w:p>
        </w:tc>
      </w:tr>
      <w:tr>
        <w:tc>
          <w:tcPr>
            <w:tcW w:type="dxa" w:w="1234"/>
            <w:vAlign w:val="center"/>
          </w:tcPr>
          <w:p>
            <w:pPr>
              <w:jc w:val="left"/>
            </w:pPr>
            <w:r>
              <w:rPr>
                <w:rFonts w:ascii="Times New Roman" w:hAnsi="Times New Roman"/>
                <w:sz w:val="18"/>
              </w:rPr>
              <w:t>assembly indicated</w:t>
            </w:r>
          </w:p>
        </w:tc>
        <w:tc>
          <w:tcPr>
            <w:tcW w:type="dxa" w:w="1234"/>
            <w:vAlign w:val="center"/>
          </w:tcPr>
          <w:p>
            <w:pPr>
              <w:jc w:val="left"/>
            </w:pPr>
            <w:r>
              <w:rPr>
                <w:rFonts w:ascii="Times New Roman" w:hAnsi="Times New Roman"/>
                <w:sz w:val="18"/>
              </w:rPr>
              <w:t>33</w:t>
            </w:r>
          </w:p>
        </w:tc>
        <w:tc>
          <w:tcPr>
            <w:tcW w:type="dxa" w:w="1234"/>
            <w:vAlign w:val="center"/>
          </w:tcPr>
          <w:p>
            <w:pPr>
              <w:jc w:val="left"/>
            </w:pPr>
            <w:r>
              <w:rPr>
                <w:rFonts w:ascii="Times New Roman" w:hAnsi="Times New Roman"/>
                <w:sz w:val="18"/>
              </w:rPr>
              <w:t>13</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17</w:t>
            </w:r>
          </w:p>
        </w:tc>
        <w:tc>
          <w:tcPr>
            <w:tcW w:type="dxa" w:w="1234"/>
            <w:vAlign w:val="center"/>
          </w:tcPr>
          <w:p>
            <w:pPr>
              <w:jc w:val="left"/>
            </w:pPr>
            <w:r>
              <w:rPr>
                <w:rFonts w:ascii="Times New Roman" w:hAnsi="Times New Roman"/>
                <w:sz w:val="18"/>
              </w:rPr>
              <w:t>0.015</w:t>
            </w:r>
          </w:p>
        </w:tc>
        <w:tc>
          <w:tcPr>
            <w:tcW w:type="dxa" w:w="1234"/>
            <w:vAlign w:val="center"/>
          </w:tcPr>
          <w:p>
            <w:pPr>
              <w:jc w:val="left"/>
            </w:pPr>
            <w:r>
              <w:rPr>
                <w:rFonts w:ascii="Times New Roman" w:hAnsi="Times New Roman"/>
                <w:sz w:val="18"/>
              </w:rPr>
              <w:t>0</w:t>
            </w:r>
          </w:p>
        </w:tc>
      </w:tr>
    </w:tbl>
    <w:p>
      <w:pPr>
        <w:spacing w:after="120"/>
        <w:jc w:val="both"/>
      </w:pPr>
      <w:r>
        <w:t>Among 33 assembly-indicated study titles, 13 have original-BH interaction wins and median relative gain 1.51%; among 127 unflagged titles, 108 have wins and the finite relative-gain median is 20.05%. All 33 flagged titles in this narrow rule happen to be in the digestive-system biome, so this comparison cannot separate assay from biome. The old two-other-assemblies assertion was not reproduced by this rule: it flags zero of 119 non-digestive titles. A broad substring search finds four non-digestive titles, but two use 'assemblage' or 'community assembly' rather than describing a metagenomic assembly. Neither title rule verifies all unflagged assay types. In particular, eight unflagged digestive records with eight BH wins do not establish eight independent amplicon cohorts or an untouched transfer result. A defensible comparison requires source method records and comparable source families, then a frozen re-analysis. This title flag cannot settle modality. Protocol and data: results/PREREG_20260927_mgnify_assay_descriptive.md and results/mgnify_assay_descriptive.json.</w:t>
      </w:r>
    </w:p>
    <w:p>
      <w:pPr>
        <w:pStyle w:val="Heading3"/>
      </w:pPr>
      <w:r>
        <w:t>5.1.2a Zero-median table: an information-content diagnostic</w:t>
      </w:r>
    </w:p>
    <w:p>
      <w:pPr>
        <w:spacing w:after="120"/>
        <w:jc w:val="both"/>
      </w:pPr>
      <w:r>
        <w:t>A separate diagnostic checks the fish-associated MGYS00006086 row rather than hiding its awkward zero-over-zero relative gain. The original audit included this row among 160 BH-adjusted study tables and counted it as neither model winning, with zero median held-out Bray-Curtis error for both. The live MGnify SSU download recorded by the manifest was opened through its published URL and processed with the original genus collapse, positive-sample filter, 5% taxon-prevalence filter and sample cap. The repository does not contain the archived derived TSV, so this is a reconstruction from a current source snapshot rather than a byte-by-byte replay of the original raw artifact. Its 142-by-11 matrix reproduces the manifest dimensions, and its 135-by-3 analyzed matrix reproduces the old audit dimensions. The source snapshot and its hash, as well as the locked check before the download, are recorded with the diagnostic.</w:t>
      </w:r>
    </w:p>
    <w:p>
      <w:pPr>
        <w:spacing w:after="120"/>
        <w:jc w:val="both"/>
      </w:pPr>
      <w:r>
        <w:t>After prevalence filtering, 3 of 11 genera remain, and 135 of 142 samples retain mass on those genera. There are 6 unique presence assemblages and 9 unique relative-composition vectors at twelve-decimal rounding. Most notably, 111 of 135 analyzed samples contain only one retained genus. For any such sample the true retained-vocabulary relative-composition vector is a unit vector. Both tested predictors condition on the observed support and normalize over present genera, so they must give the same unit vector. Thus a majority of zero errors is built into the task after filtering, not evidence that either method learned useful ecological structure. The other samples need not have zero error, and six presence patterns mean the table is not literally constant. The finding explains the zero medians without claiming that all individual held-out predictions match.</w:t>
      </w:r>
    </w:p>
    <w:p>
      <w:pPr>
        <w:spacing w:after="120"/>
        <w:jc w:val="both"/>
      </w:pPr>
      <w:r>
        <w:t>The diagnostic changes interpretation, not the analysis denominator. The row remains in the original 160-table BH family and in the no-difference category; its relative gain remains undefined rather than being set to zero. No model was refit and no p-value or q-value was recalculated. A future benchmark should set its information-content eligibility rule before viewing held-out outcomes, with minimum retained richness or nontrivial-composition coverage measured on training data only. That rule would define a different estimand and require its own complete screening ledger, not a post-hoc deletion of this fish table. Even a correctly filtered within-study result would still not establish cross-source transfer or causality. The exact MGnify endpoint and source SHA-256 are pinned in results/audit_degenerate_table.json; the locked check is results/PREREG_20260927_audit_degenerate_table.md.</w:t>
      </w:r>
    </w:p>
    <w:p>
      <w:pPr>
        <w:pStyle w:val="Heading3"/>
      </w:pPr>
      <w:r>
        <w:t>5.1.2b Exact source-column linkage for the fish diagnostic</w:t>
      </w:r>
    </w:p>
    <w:p>
      <w:pPr>
        <w:spacing w:after="120"/>
        <w:jc w:val="both"/>
      </w:pPr>
      <w:r>
        <w:t>The low-information fish table also permits a narrow accession-level provenance check. We froze the match rule before reading the current MGnify analysis and sample lists: exact identity between every source SSU column and an analysis record's assembly-relationship identifier, followed by that analysis's sample relationship. No string similarity or metadata-only guess is used. The source download has 150 raw columns, of which 142 carry nonzero mass after genus collapse and are the columns recorded in the old manifest; 135 remain after the audit's 5% prevalence screen removes massless rows. Thus 150, 142 and 135 refer to distinct, explicit processing stages, not competing counts of independent subjects.</w:t>
      </w:r>
    </w:p>
    <w:p>
      <w:pPr>
        <w:spacing w:after="120"/>
        <w:jc w:val="both"/>
      </w:pPr>
      <w:r>
        <w:t>The current MGnify API lists 157 analysis records and 157 sample records, each endpoint fully covered in one page. Exactly 150 of 150 raw SSU columns, 142 of 142 nonzero columns and 135 of 135 analyzed columns match unique analysis assembly IDs. All 135 analyzed columns then link through those analysis records to distinct current sample IDs. These matches materially strengthen the column-to-record identity for this one viewed source, rather than relying on a study-level title or aggregate count. Every matched current analysis has experiment type 'assembly'; every linked sample has explicit host scientific name Salmo salar, while all normalized species fields are missing. The explicit salmon name is a direct metadata observation, not a repair of the missing normalized field.</w:t>
      </w:r>
    </w:p>
    <w:p>
      <w:pPr>
        <w:spacing w:after="120"/>
        <w:jc w:val="both"/>
      </w:pPr>
      <w:r>
        <w:t>The result does not retroactively turn the source into an independent fish cohort or assay-certified amplicon dataset. The public 5.0 SSU file's assembly IDs map to today's assembly-typed analyses, but the run-level instrument and library methods that produced each abundance column are not settled by an experiment-type label. Nor does distinct sample accessions demonstrate distinct individual salmon, cages or projects, and license review remains open. The 135 columns still provide only a within-table predictive audit with a severe one-taxon prevalence artifact. No error was recomputed and no archived BH result was moved. The exact URLs, response hashes and match counts are recorded in results/fish_column_identity.json under the locked results/PREREG_20260927_fish_column_identity.md protocol.</w:t>
      </w:r>
    </w:p>
    <w:p>
      <w:pPr>
        <w:pStyle w:val="Heading3"/>
      </w:pPr>
      <w:r>
        <w:t>5.1.2c Exact run-column mapping exposes a human-host conflict</w:t>
      </w:r>
    </w:p>
    <w:p>
      <w:pPr>
        <w:spacing w:after="120"/>
        <w:jc w:val="both"/>
      </w:pPr>
      <w:r>
        <w:t>The other accession-level check concerns MGYS00006755, a record filed under the human digestive biome whose sample-level metadata already looked contradictory. We fixed the link rule before opening its source matrix: exact equality of the old SSU column identifier to a current analysis's run relationship, then follow that analysis's sample relationship to the current sample record. This check is possible because run accessions, not merely a study title, appear as the SSU table columns. The source snapshot reproduced its manifest's 83 samples and 353 genera after genus collapse, then the old audit's 83 samples and 150 retained genera after the standard prevalence and top-150 filters. Those dimensions match the archived record; an old derived-file checksum is unavailable, so the source snapshot is not a byte-for-byte historical replay.</w:t>
      </w:r>
    </w:p>
    <w:p>
      <w:pPr>
        <w:spacing w:after="120"/>
        <w:jc w:val="both"/>
      </w:pPr>
      <w:r>
        <w:t>All 83 of 83 analyzed run columns exactly match unique current analysis run relationships, and all of those analysis records link to distinct current sample accessions. Their current experiment-type labels are all 'amplicon'. This is stronger than the prior study-level aggregate, because the discordant host metadata now belongs to the same sample records linked by exact IDs to the 83 audit columns. In every one of these records, the explicit host scientific name is a nonhuman animal, while the normalized species label is Homo sapiens. The conflict remains unresolved; we neither infer that the normalized human label wins nor silently choose the explicit host name as final truth. The public source's study abstract describes non-ruminant herbivores, consistent with the explicit nonhuman names, but it cannot repair the source metadata's contradictory normalized field.</w:t>
      </w:r>
    </w:p>
    <w:p>
      <w:pPr>
        <w:spacing w:after="120"/>
        <w:jc w:val="both"/>
      </w:pPr>
      <w:r>
        <w:t>This materially weakens any human-gut claim based on the archived digestive label, even though the assay layer currently calls these matched records amplicon. Exact run-to-sample linkage does not verify independent animals, the full historical wet-lab method, sample rights, or an external-test separation; these results were already viewed in the 160-table audit. Their original BH-adjusted win call is left intact and not reinterpreted as a human-gut amplicon validation. A later eligibility ledger must quarantine host-discordant records until the data provider or primary methods resolves the contradiction. Exact source URLs, hashes, match counts and aggregate host-name distribution are in results/conflicted_host_column_identity.json; the pre-read rule is results/PREREG_20260927_conflicted_host_column_identity.md.</w:t>
      </w:r>
    </w:p>
    <w:p>
      <w:pPr>
        <w:pStyle w:val="Heading3"/>
      </w:pPr>
      <w:r>
        <w:t>5.1.2d Oral archive column mapping and pipeline versions</w:t>
      </w:r>
    </w:p>
    <w:p>
      <w:pPr>
        <w:spacing w:after="120"/>
        <w:jc w:val="both"/>
      </w:pPr>
      <w:r>
        <w:t>MGYS00002238 is archived under Human:Digestive system but its source title describes oral changes in children with autism spectrum disorder. We fixed an exact-ID comparison of the historical SSU file's columns to current MGnify run relationships, followed by linked sample descriptions. The public SSU source snapshot reproduces 111 manifest columns and 312 genera; after the old prevalence/top-150 preprocessing, 111 sample columns and 111 retained taxa match the archived audit dimensions. All 111 retained column IDs exactly match current run relationships, but the analysis list has 222 records, not 222 samples. Every run has two analysis versions: 5.0 and 4.1, both amplicon-labeled and linked to the same sample ID. Because the SSU file path explicitly names pipeline 5.0, the crosswalk selects only its one 5.0 analysis per run rather than counting 4.1 as an independent observation.</w:t>
      </w:r>
    </w:p>
    <w:p>
      <w:pPr>
        <w:spacing w:after="120"/>
        <w:jc w:val="both"/>
      </w:pPr>
      <w:r>
        <w:t>The selected 111 analyses link to 111 unique sample accessions; all linked explicit host names and normalized species fields are Homo sapiens. The sample descriptions identify 59 saliva and 52 dental-plaque specimens, split across patient and healthy-control descriptions. None of the matched sample descriptions says stool or gut. This is positive source evidence that the 111 archived abundance columns belong to oral material despite the digestive-system archive label, not a claim about all data ever collected by the study. The duplicate pipeline versions do not double the participant denominator; nor do 111 distinct sample accessions prove 111 distinct people. Any within-study win remains an oral-table observation, not one human-gut replication.</w:t>
      </w:r>
    </w:p>
    <w:p>
      <w:pPr>
        <w:spacing w:after="120"/>
        <w:jc w:val="both"/>
      </w:pPr>
      <w:r>
        <w:t>The revised metadata-integrity matrix marks only the old column map as known for this record. Its explicit human-host compatibility is supported on the linked columns, but independent subject/family grouping, historical wet-lab method and data rights remain unverified; the human-gut amplicon admission gate is still blocked. There was no new prediction, p-value or BH adjustment. Per-endpoint URLs, hashes, 5.0-versus-4.1 version counts and aggregate descriptions are in results/oral_column_identity.json; the locked rule and version amendment are in results/PREREG_20260927_oral_column_identity.md.</w:t>
      </w:r>
    </w:p>
    <w:p>
      <w:pPr>
        <w:pStyle w:val="Heading3"/>
      </w:pPr>
      <w:r>
        <w:t>5.1.2e Viewed human-gut candidate: exact IDs, uncertain biological units</w:t>
      </w:r>
    </w:p>
    <w:p>
      <w:pPr>
        <w:spacing w:after="120"/>
        <w:jc w:val="both"/>
      </w:pPr>
      <w:r>
        <w:t>MGYS00005154 is an old human-digestive archive table with a human-gut study title, current amplicon-labeled analyses, and complete human-host names in the prior source screen. To test whether those aggregate labels belong to the old audit data rather than to other runs in the same study, we froze an exact run-ID-to-analysis-and-sample join before opening its source table. The public pipeline-5.0 SSU snapshot reproduces 529 nonzero raw sample columns and 779 genera from the manifest. The old audit's top-150-taxon and 400-sample caps yield exactly 400 columns and 150 genera, matching its archived dimensions. All 529 raw and all 400 retained column run IDs are found in the current fully paged MGnify analysis list. This is source-column identity evidence on already-viewed data, not a new model result.</w:t>
      </w:r>
    </w:p>
    <w:p>
      <w:pPr>
        <w:spacing w:after="120"/>
        <w:jc w:val="both"/>
      </w:pPr>
      <w:r>
        <w:t>The current endpoint contains 965 analyses and 529 sample records, but analysis count does not equal biological count. Among the 400 retained run IDs, 320 have two analysis records and 80 have one. We selected exactly one pipeline-5.0 analysis per retained run because the source file explicitly names that pipeline version. Different versions of the same run agree on their linked sample ID in this check. The selected 400 analysis records are amplicon-labeled and link to 400 distinct sample accessions with explicit Homo sapiens host names and normalized Homo sapiens labels. This advances exact archive-column mapping in the metadata matrix, while leaving the independent-family field unknown.</w:t>
      </w:r>
    </w:p>
    <w:p>
      <w:pPr>
        <w:spacing w:after="120"/>
        <w:jc w:val="both"/>
      </w:pPr>
      <w:r>
        <w:t>Collection-site evidence required a post-inspection correction: all 400 linked sample descriptions repeat the study-level phrase 'Human gut microbiome differentiation viewed across cultures, ages and families', and the current sample metadata provide no literal 'body site' or 'collection site' key among these records. However, a later audit of structured sample metadata found that all 400 exact-linked records bear 'environment (material): ENVO:feces'; the other 129 current sample records carry the same material value. The prior narrow key scan omitted this field. It supports source-annotated fecal material, whereas the repeated study description alone did not suffice. Neither the submitted annotation nor the description can independently prove each collected specimen's anatomical site or wet-lab assay. Nor do 400 distinct sample accessions prove 400 unrelated people or an independent source family. Rights, participant grouping, project overlap and untouched split remain unverified. The gate therefore blocks final human-gut amplicon admission on family independence even though six other amended metadata fields pass for this candidate; passing that remaining family check would still require manual validation. No score or BH result was changed. Exact source URLs, response hashes, pipeline-version counts and aggregate sample descriptions: results/gut_candidate_column_identity.json; locked method: results/PREREG_20260927_gut_candidate_column_identity.md. Post-inspection material amendment and live sample-response hashes: results/PREREG_20260927_feces_material_amendment.md and results/gut_material_identity.json.</w:t>
      </w:r>
    </w:p>
    <w:p>
      <w:pPr>
        <w:pStyle w:val="Heading3"/>
      </w:pPr>
      <w:r>
        <w:t>5.1.2e.1 Family and publication identifiers remain unresolved</w:t>
      </w:r>
    </w:p>
    <w:p>
      <w:pPr>
        <w:spacing w:after="120"/>
        <w:jc w:val="both"/>
      </w:pPr>
      <w:r>
        <w:t>A later source-family check read the MGnify study and all current 529 sample records without examining abundance outcomes. The study record identifies PRJEB3079 / ERP001500 and its abstract describes 531 people, including mono- and dizygotic twins. All 529 exposed sample-metadata records carry location, environment, host and depth/elevation keys, but no explicit person, family, household or donor-ID key. The 529 current sample records and the 531 people in the abstract are distinct reported counts without a verified row-level crosswalk. Neither the 400 unique exact-linked sample accessions nor a single BioProject prove 400 unrelated people or independence from a source mirror. The biological-family axis therefore remains unknown rather than false or true, and source admission remains blocked.</w:t>
      </w:r>
    </w:p>
    <w:p>
      <w:pPr>
        <w:spacing w:after="120"/>
        <w:jc w:val="both"/>
      </w:pPr>
      <w:r>
        <w:t>The abstract text matches the 2012 Nature article 'Human gut microbiome viewed across age and geography' (DOI 10.1038/nature11053), which discusses fecal samples, families and twins. Yet MGnify's separate study-publications endpoint links this accession to a different 2021 article (DOI 10.1016/j.csbj.2021.07.009). We record this publication-link conflict rather than infer whether the publication endpoint citation was misassigned; the direct ENA assay bridge below identifies the deposited 16S run family. Primary person and family mapping, rights and mirror checks remain needed. This finding is metadata-only, not a reassessment of the original BH scores or an untouched external benchmark. Provider response URLs, hashes and aggregate key counts: results/gut_family_evidence.json; the dated diagnostic: results/PREREG_20260927_gut_family_evidence.md. Primary article: https://www.nature.com/articles/nature11053.</w:t>
      </w:r>
    </w:p>
    <w:p>
      <w:pPr>
        <w:pStyle w:val="Heading3"/>
      </w:pPr>
      <w:r>
        <w:t>5.1.2e.2 Exact ENA assay bridge: what the identifier establishes</w:t>
      </w:r>
    </w:p>
    <w:p>
      <w:pPr>
        <w:spacing w:after="120"/>
        <w:jc w:val="both"/>
      </w:pPr>
      <w:r>
        <w:t>The earlier family diagnostic could not connect the MGnify archive to the original article's sequencing deposit from its abstract alone. A subsequent direct provider check crossed that narrower bridge without opening a new predictive outcome. ENA's ERP001500 study XML lists PRJEB3079 as its secondary project accession and qiime_study_850 as its submitted alias. The 2012 Gordon Lab source portal lists qiime:850 for its Illumina V4 16S deposit, separate from qiime:621 for fecal shotgun data. The identifier, rather than resemblance of titles, connects the archive's ENA study to that 16S deposit. This does not make every source annotation correct or supply an article-to-person linkage. ENA XML: https://www.ebi.ac.uk/ena/browser/api/xml/ERP001500 ; author portal: https://gordonlab.wustl.edu/supplemental-data/supplemental-data-portal/yatsunenko-et-al-2012/ .</w:t>
      </w:r>
    </w:p>
    <w:p>
      <w:pPr>
        <w:spacing w:after="120"/>
        <w:jc w:val="both"/>
      </w:pPr>
      <w:r>
        <w:t>We further compared actual run identifiers, not just study labels. ENA's current ERP001500 read-run report exposes 530 unique run accessions and 529 unique sample accessions. All 530 reported runs carry AMPLICON library strategy, PCR selection and ILLUMINA instrument platform. The original MGnify SSU table has 529 raw run-ID columns and the unchanged archived filtering retains 400. Every one of the 529 raw column IDs and all 400 retained IDs exactly appears in the ENA run set; one ENA run is not a source-table column. Thus the old columns, not merely an unrelated accession in the same BioProject, have source-supported Illumina amplicon provenance. A spot-check of one ENA experiment shows 16S V4, but V4 uniformity across all 400 retained runs has not been independently checked. Full aggregate report, URLs and hashes are frozen in results/PREREG_20260928_primary_assay_crosswalk.md. The historical assay is now better grounded than the earlier manuscript text says, while the biological-family field stays unknown.</w:t>
      </w:r>
    </w:p>
    <w:p>
      <w:pPr>
        <w:spacing w:after="120"/>
        <w:jc w:val="both"/>
      </w:pPr>
      <w:r>
        <w:t>An assay bridge and a biological-independence bridge answer different questions. The first says which read runs contributed to an abundance table and what ENA calls their sequencing strategy. The second asks whether rows represent unrelated people, a twin pair, a repeated sample, or a mirror of a published cohort. The ENA report's 529 distinct sample accessions cannot resolve those relationships. The study abstract describes 531 people and twins, but neither number should be forced onto the 400 retained run columns as a participant count. The MGnify linked-publications endpoint's 2021 citation also remains inconsistent with the matching 2012 study abstract; the exact ENA alias resolves the deposited study identity without silently resolving that bibliographic conflict. This table is already viewed, so even a later family map could not turn the diagnostic into an untouched final test. No Wilcoxon statistic or BH correction in the 160-study archive was recomputed here.</w:t>
      </w:r>
    </w:p>
    <w:p>
      <w:pPr>
        <w:pStyle w:val="Heading3"/>
      </w:pPr>
      <w:r>
        <w:t>5.1.2f Exact old-column mapping reveals a site-code contradiction</w:t>
      </w:r>
    </w:p>
    <w:p>
      <w:pPr>
        <w:spacing w:after="120"/>
        <w:jc w:val="both"/>
      </w:pPr>
      <w:r>
        <w:t>MGYS00006794 has a title describing longitudinal stool and oral communities in patients with multiple sclerosis, but the archived biome places it under Human:Digestive system. We fixed an exact source-column site check before reading its original pipeline-5.0 SSU file and current MGnify analyses and samples. The source table has 184 nonzero run columns and 439 collapsed genera; after the original prevalence and top-150 filters, 184 columns and 150 genera reproduce its archived audit dimensions. All 184 old run IDs exact-match one current pipeline-5.0 analysis each, and these point to 184 distinct current sample accessions. This establishes that the site codes examined belong to the actual old table columns rather than to unrelated samples in the study.</w:t>
      </w:r>
    </w:p>
    <w:p>
      <w:pPr>
        <w:spacing w:after="120"/>
        <w:jc w:val="both"/>
      </w:pPr>
      <w:r>
        <w:t>Each linked sample's structured environment-material field is UBERON:0002097, which the EMBL-EBI Ontology Lookup Service labels 'skin of body'. Each linked environment-feature field is ENVO:2100003, labeled 'skin environment'. The source's free-text descriptions distinguish multiple-sclerosis treatment phases and controls, not the specimen site. Its normalized species is Homo sapiens, but no usable explicit host scientific name was supplied in these sample records. Thus there is a direct structured-site-versus-study-text/biome metadata conflict on all 184 archived columns. We do not adjudicate specimen tissue by choosing the structured codes or the title: either the site codes or the higher-level classification may be mistaken, and the original wet-lab record would have to settle which source actually produced the table.</w:t>
      </w:r>
    </w:p>
    <w:p>
      <w:pPr>
        <w:spacing w:after="120"/>
        <w:jc w:val="both"/>
      </w:pPr>
      <w:r>
        <w:t>This finding required a dated amendment of the admission prototype. The prior six-field gate tested host identity but conflated a human host with a human GUT sample. A separate seventh `human_gut_site_compatible` field now blocks unknown or conflicting collection site. MGYS00006794's field is false from the structured-site mismatch; MGYS00002238 is false from exact linked oral sample descriptions. Of the other six, MGYS00005154 is source-metadata compatible after the separately dated feces-material amendment; five remain unknown pending sample-specific site evidence. These are metadata blockers, not a retrospective assay-stratified performance analysis, and all eight viewed records remain blocked. None of the 160 original BH-adjusted calls or old within-study scores changed. The amendment is explicitly dated after this source check, not passed off as a rule frozen before the original audit. Source response and ontology hashes: results/mixed_site_column_identity.json; protocol and site-axis amendment: results/PREREG_20260927_mixed_site_column_identity.md and results/PREREG_20260927_site_gate_amendment.md.</w:t>
      </w:r>
    </w:p>
    <w:p>
      <w:pPr>
        <w:pStyle w:val="Heading3"/>
      </w:pPr>
      <w:r>
        <w:t>5.1.3 Live source context for the eight unflagged digestive titles</w:t>
      </w:r>
    </w:p>
    <w:p>
      <w:pPr>
        <w:spacing w:after="120"/>
        <w:jc w:val="both"/>
      </w:pPr>
      <w:r>
        <w:t>The first study-level screen asked whether eight title-unflagged records could be described uniformly as human-gut amplicon studies, using live MGnify study endpoints without re-scoring taxon outcomes. Later exact-column checks for four records are reported above. Each endpoint returned a public study name, project IDs and abstract; the source responses and abstract strings are hashed, while the repository retains only non-private metadata and short method phrases. The MGnify study response does not provide a decisive per-run library-strategy field, so a phrase in an abstract is source context, not an assay certificate for every archived abundance column. The manifest's digestive-system biome also requires verification against collection source and organism. This screen leaves the original eight win calls untouched.</w:t>
      </w:r>
    </w:p>
    <w:p>
      <w:pPr>
        <w:keepNext/>
      </w:pPr>
      <w:r>
        <w:rPr>
          <w:b/>
        </w:rPr>
        <w:t>Table 6. Live public MGnify study metadata for eight prior title-unflagged digestive archive records. Phrases are not per-run assay certification; MGYS00006755 describes non-ruminant herbivores despite a human digestive archive biome label.</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MGnify ID</w:t>
            </w:r>
          </w:p>
        </w:tc>
        <w:tc>
          <w:tcPr>
            <w:tcW w:type="dxa" w:w="2160"/>
            <w:vAlign w:val="center"/>
          </w:tcPr>
          <w:p>
            <w:pPr>
              <w:jc w:val="left"/>
            </w:pPr>
            <w:r>
              <w:rPr>
                <w:rFonts w:ascii="Times New Roman" w:hAnsi="Times New Roman"/>
                <w:sz w:val="18"/>
              </w:rPr>
              <w:t>BioProject</w:t>
            </w:r>
          </w:p>
        </w:tc>
        <w:tc>
          <w:tcPr>
            <w:tcW w:type="dxa" w:w="2160"/>
            <w:vAlign w:val="center"/>
          </w:tcPr>
          <w:p>
            <w:pPr>
              <w:jc w:val="left"/>
            </w:pPr>
            <w:r>
              <w:rPr>
                <w:rFonts w:ascii="Times New Roman" w:hAnsi="Times New Roman"/>
                <w:sz w:val="18"/>
              </w:rPr>
              <w:t>source abstract phrase</w:t>
            </w:r>
          </w:p>
        </w:tc>
        <w:tc>
          <w:tcPr>
            <w:tcW w:type="dxa" w:w="2160"/>
            <w:vAlign w:val="center"/>
          </w:tcPr>
          <w:p>
            <w:pPr>
              <w:jc w:val="left"/>
            </w:pPr>
            <w:r>
              <w:rPr>
                <w:rFonts w:ascii="Times New Roman" w:hAnsi="Times New Roman"/>
                <w:sz w:val="18"/>
              </w:rPr>
              <w:t>interpretation</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PRJNA63661</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PRJNA362687</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PRJEB3079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PRJEB5729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PRJEB49206</w:t>
            </w:r>
          </w:p>
        </w:tc>
        <w:tc>
          <w:tcPr>
            <w:tcW w:type="dxa" w:w="2160"/>
            <w:vAlign w:val="center"/>
          </w:tcPr>
          <w:p>
            <w:pPr>
              <w:jc w:val="left"/>
            </w:pPr>
            <w:r>
              <w:rPr>
                <w:rFonts w:ascii="Times New Roman" w:hAnsi="Times New Roman"/>
                <w:sz w:val="18"/>
              </w:rPr>
              <w:t>ultra-deep metagenomic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PRJNA362214</w:t>
            </w:r>
          </w:p>
        </w:tc>
        <w:tc>
          <w:tcPr>
            <w:tcW w:type="dxa" w:w="2160"/>
            <w:vAlign w:val="center"/>
          </w:tcPr>
          <w:p>
            <w:pPr>
              <w:jc w:val="left"/>
            </w:pPr>
            <w:r>
              <w:rPr>
                <w:rFonts w:ascii="Times New Roman" w:hAnsi="Times New Roman"/>
                <w:sz w:val="18"/>
              </w:rPr>
              <w:t>V4 16S rRNA amplicons</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PRJEB44538</w:t>
            </w:r>
          </w:p>
        </w:tc>
        <w:tc>
          <w:tcPr>
            <w:tcW w:type="dxa" w:w="2160"/>
            <w:vAlign w:val="center"/>
          </w:tcPr>
          <w:p>
            <w:pPr>
              <w:jc w:val="left"/>
            </w:pPr>
            <w:r>
              <w:rPr>
                <w:rFonts w:ascii="Times New Roman" w:hAnsi="Times New Roman"/>
                <w:sz w:val="18"/>
              </w:rPr>
              <w:t>16S rDNA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PRJNA492714</w:t>
            </w:r>
          </w:p>
        </w:tc>
        <w:tc>
          <w:tcPr>
            <w:tcW w:type="dxa" w:w="2160"/>
            <w:vAlign w:val="center"/>
          </w:tcPr>
          <w:p>
            <w:pPr>
              <w:jc w:val="left"/>
            </w:pPr>
            <w:r>
              <w:rPr>
                <w:rFonts w:ascii="Times New Roman" w:hAnsi="Times New Roman"/>
                <w:sz w:val="18"/>
              </w:rPr>
              <w:t>whole genome sequencing</w:t>
            </w:r>
          </w:p>
        </w:tc>
        <w:tc>
          <w:tcPr>
            <w:tcW w:type="dxa" w:w="2160"/>
            <w:vAlign w:val="center"/>
          </w:tcPr>
          <w:p>
            <w:pPr>
              <w:jc w:val="left"/>
            </w:pPr>
            <w:r>
              <w:rPr>
                <w:rFonts w:ascii="Times New Roman" w:hAnsi="Times New Roman"/>
                <w:sz w:val="18"/>
              </w:rPr>
              <w:t>study description only</w:t>
            </w:r>
          </w:p>
        </w:tc>
      </w:tr>
    </w:tbl>
    <w:p>
      <w:pPr>
        <w:spacing w:after="120"/>
        <w:jc w:val="both"/>
      </w:pPr>
      <w:r>
        <w:t>The sources directly contradict the casual phrase 'eight amplicon human-gut studies'. MGYS00006006 describes ultra-deep metagenomic sequencing; MGYS00006795 mentions whole-genome sequencing; MGYS00006755 describes V4 16S rRNA amplicons from non-ruminant herbivores even though the archived biome reads Human:Digestive system; MGYS00006794 describes oral and stool 16S rDNA sequencing. MGYS00002238 has an oral-microbiome title and a short abstract, while several others give no decisive assay phrase in the study response. A mixed study abstract could describe multiple sample types, and neither the digestive-system label nor the absence of an assembly title can replace a sample-to-run library-strategy crosswalk. The within-study eight-of-eight BH result is still an archival arithmetic fact, but the stronger interpretation as eight independent, human gut, amplicon cohorts is withdrawn. An assay-stratified scientific result requires source-verified collection and instrument fields, harmonized taxonomy, and subject/source-family grouping before any new model test. Source URLs and response hashes are in results/gut_unflagged_source_screen.json; no external performance was computed in this screen.</w:t>
      </w:r>
    </w:p>
    <w:p>
      <w:pPr>
        <w:pStyle w:val="Heading3"/>
      </w:pPr>
      <w:r>
        <w:t>5.1.4 Analysis-type and host metadata crosswalk: seven complete, one unresolved</w:t>
      </w:r>
    </w:p>
    <w:p>
      <w:pPr>
        <w:spacing w:after="120"/>
        <w:jc w:val="both"/>
      </w:pPr>
      <w:r>
        <w:t>The earlier source screen moved from abstracts to MGnify analysis records and sample-host metadata without mapping historical SSU abundance columns to analyses. Later exact joins in Sections 5.1.2c-f supply those maps for four viewed records. Seven of the eight title-unflagged digestive study IDs had complete, declared pagination for both analysis and sample endpoints. The eighth, MGYS00000633, declares 8,091 analyses and 1,563 samples across many pages; this bounded screen did not complete it, so its assay and host classification are explicitly unresolved. Each completed source record carries page URLs and response hashes, while only aggregate type and host counts enter this manuscript. The classification below is current MGnify analysis metadata, not a verified historical per-column label and not an external validation result.</w:t>
      </w:r>
    </w:p>
    <w:p>
      <w:pPr>
        <w:keepNext/>
      </w:pPr>
      <w:r>
        <w:rPr>
          <w:b/>
        </w:rPr>
        <w:t>Table 7. Complete MGnify analysis/sample metadata for seven of eight previously viewed digestive archive records. The eighth is unresolved due to incomplete pagination. Host conflict compares normalized Homo sapiens to an explicit nonhuman host scientific name, not a missing value.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ID</w:t>
            </w:r>
          </w:p>
        </w:tc>
        <w:tc>
          <w:tcPr>
            <w:tcW w:type="dxa" w:w="1728"/>
            <w:vAlign w:val="center"/>
          </w:tcPr>
          <w:p>
            <w:pPr>
              <w:jc w:val="left"/>
            </w:pPr>
            <w:r>
              <w:rPr>
                <w:rFonts w:ascii="Times New Roman" w:hAnsi="Times New Roman"/>
                <w:sz w:val="18"/>
              </w:rPr>
              <w:t>analyses</w:t>
            </w:r>
          </w:p>
        </w:tc>
        <w:tc>
          <w:tcPr>
            <w:tcW w:type="dxa" w:w="1728"/>
            <w:vAlign w:val="center"/>
          </w:tcPr>
          <w:p>
            <w:pPr>
              <w:jc w:val="left"/>
            </w:pPr>
            <w:r>
              <w:rPr>
                <w:rFonts w:ascii="Times New Roman" w:hAnsi="Times New Roman"/>
                <w:sz w:val="18"/>
              </w:rPr>
              <w:t>analysis types</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host-field conflict</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222</w:t>
            </w:r>
          </w:p>
        </w:tc>
        <w:tc>
          <w:tcPr>
            <w:tcW w:type="dxa" w:w="1728"/>
            <w:vAlign w:val="center"/>
          </w:tcPr>
          <w:p>
            <w:pPr>
              <w:jc w:val="left"/>
            </w:pPr>
            <w:r>
              <w:rPr>
                <w:rFonts w:ascii="Times New Roman" w:hAnsi="Times New Roman"/>
                <w:sz w:val="18"/>
              </w:rPr>
              <w:t>amplicon: 222</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965</w:t>
            </w:r>
          </w:p>
        </w:tc>
        <w:tc>
          <w:tcPr>
            <w:tcW w:type="dxa" w:w="1728"/>
            <w:vAlign w:val="center"/>
          </w:tcPr>
          <w:p>
            <w:pPr>
              <w:jc w:val="left"/>
            </w:pPr>
            <w:r>
              <w:rPr>
                <w:rFonts w:ascii="Times New Roman" w:hAnsi="Times New Roman"/>
                <w:sz w:val="18"/>
              </w:rPr>
              <w:t>amplicon: 965</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1644</w:t>
            </w:r>
          </w:p>
        </w:tc>
        <w:tc>
          <w:tcPr>
            <w:tcW w:type="dxa" w:w="1728"/>
            <w:vAlign w:val="center"/>
          </w:tcPr>
          <w:p>
            <w:pPr>
              <w:jc w:val="left"/>
            </w:pPr>
            <w:r>
              <w:rPr>
                <w:rFonts w:ascii="Times New Roman" w:hAnsi="Times New Roman"/>
                <w:sz w:val="18"/>
              </w:rPr>
              <w:t>amplicon: 1644</w:t>
            </w:r>
          </w:p>
        </w:tc>
        <w:tc>
          <w:tcPr>
            <w:tcW w:type="dxa" w:w="1728"/>
            <w:vAlign w:val="center"/>
          </w:tcPr>
          <w:p>
            <w:pPr>
              <w:jc w:val="left"/>
            </w:pPr>
            <w:r>
              <w:rPr>
                <w:rFonts w:ascii="Times New Roman" w:hAnsi="Times New Roman"/>
                <w:sz w:val="18"/>
              </w:rPr>
              <w:t>915</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assembly: 457</w:t>
            </w:r>
          </w:p>
        </w:tc>
        <w:tc>
          <w:tcPr>
            <w:tcW w:type="dxa" w:w="1728"/>
            <w:vAlign w:val="center"/>
          </w:tcPr>
          <w:p>
            <w:pPr>
              <w:jc w:val="left"/>
            </w:pPr>
            <w:r>
              <w:rPr>
                <w:rFonts w:ascii="Times New Roman" w:hAnsi="Times New Roman"/>
                <w:sz w:val="18"/>
              </w:rPr>
              <w:t>419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amplicon: 83</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amplicon: 184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amplicon: 31</w:t>
            </w:r>
          </w:p>
        </w:tc>
        <w:tc>
          <w:tcPr>
            <w:tcW w:type="dxa" w:w="1728"/>
            <w:vAlign w:val="center"/>
          </w:tcPr>
          <w:p>
            <w:pPr>
              <w:jc w:val="left"/>
            </w:pPr>
            <w:r>
              <w:rPr>
                <w:rFonts w:ascii="Times New Roman" w:hAnsi="Times New Roman"/>
                <w:sz w:val="18"/>
              </w:rPr>
              <w:t>36</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r>
    </w:tbl>
    <w:p>
      <w:pPr>
        <w:spacing w:after="120"/>
        <w:jc w:val="both"/>
      </w:pPr>
      <w:r>
        <w:t>The title filter missed an assembly-derived study: MGYS00006006 has 457 of 457 current analyses typed 'assembly', despite not carrying the narrow assembly phrase in its title. In contrast, MGYS00006795's abstract mentioned whole-genome sequencing while all 31 current analyses are typed 'amplicon'; study prose and the output being audited are different evidence layers. The six completed sources besides the assembly record have all examined analyses labeled amplicon. In MGYS00006755, all 83 analyses are labeled amplicon, but all 83 normalized sample species fields say Homo sapiens while the source's explicit host scientific names give nonhuman animals. We cannot choose the more favorable field: the human host label is contested for that study. No outcome or original BH q-value was recomputed from these source metadata. Later exact run-to-analysis-to-sample joins for four viewed records are given in Sections 5.1.2c-f; the remaining old SSU files' columns still require joins and all require biological-family grouping before any assay-specific win rate. The seven-of-eight read reduces uncertainty in named records but does not certify eight independent human amplicon cohorts or resolve the archived gut effect. See results/PREREG_20260927_gut_analysis_metadata_crosswalk.md and results/gut_analysis_metadata_crosswalk_partial.json; MGYS00000633 remains open.</w:t>
      </w:r>
    </w:p>
    <w:p>
      <w:pPr>
        <w:pStyle w:val="Heading3"/>
      </w:pPr>
      <w:r>
        <w:t>5.1.5 An explicit metadata-integrity matrix</w:t>
      </w:r>
    </w:p>
    <w:p>
      <w:pPr>
        <w:spacing w:after="120"/>
        <w:jc w:val="both"/>
      </w:pPr>
      <w:r>
        <w:t>A recurring error in a large research platform is to turn partial metadata into a single green eligibility check. The preceding screens make this risk concrete: an analysis-type count alone does not link a historical abundance column to an analysis; a normalized human species code need not agree with the source's host scientific name; and complete pagination does not establish an independent source family. The original matrix emitted a six-field status vector for each of the eight old title-unflagged digestive records; a seventh site field was added after the mixed-site conflict was found. It separates analysis pagination, uniform analysis type, sample pagination, explicit host compatibility, archive-column mapping, biological-family independence and the newly amended gut-site compatibility. `Unknown` is an intentional output rather than a false value that someone can accidentally average away. The uncompleted eighth source is unknown on every dimension. Four later exact run-to-sample joins have verified old-column maps: MGYS00006755 fails host compatibility; MGYS00002238 is oral saliva/plaque; MGYS00006794 has conflicting structured skin-site codes; and MGYS00005154 has an exact-linked feces material annotation but no independent-family certificate. The other four retain unknown archive-column mapping. Every source remains unknown on biological-family independence.</w:t>
      </w:r>
    </w:p>
    <w:p>
      <w:pPr>
        <w:keepNext/>
      </w:pPr>
      <w:r>
        <w:rPr>
          <w:b/>
        </w:rPr>
        <w:t>Table 8. Source metadata-integrity matrix, not an eligibility leaderboard. Study IDs shorten MGYS0000 to M (e.g., M6755 = MGYS00006755). M2238, M5154, M6755 and M6794 have exact old SSU run-column maps. M2238 is oral, M6794 has conflicting skin-site codes, M6755 has a host conflict; all eight lack an independent-family certificate.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w:t>
            </w:r>
          </w:p>
        </w:tc>
        <w:tc>
          <w:tcPr>
            <w:tcW w:type="dxa" w:w="1234"/>
            <w:vAlign w:val="center"/>
          </w:tcPr>
          <w:p>
            <w:pPr>
              <w:jc w:val="left"/>
            </w:pPr>
            <w:r>
              <w:rPr>
                <w:rFonts w:ascii="Times New Roman" w:hAnsi="Times New Roman"/>
                <w:sz w:val="18"/>
              </w:rPr>
              <w:t>analysis type</w:t>
            </w:r>
          </w:p>
        </w:tc>
        <w:tc>
          <w:tcPr>
            <w:tcW w:type="dxa" w:w="1234"/>
            <w:vAlign w:val="center"/>
          </w:tcPr>
          <w:p>
            <w:pPr>
              <w:jc w:val="left"/>
            </w:pPr>
            <w:r>
              <w:rPr>
                <w:rFonts w:ascii="Times New Roman" w:hAnsi="Times New Roman"/>
                <w:sz w:val="18"/>
              </w:rPr>
              <w:t>sample pages</w:t>
            </w:r>
          </w:p>
        </w:tc>
        <w:tc>
          <w:tcPr>
            <w:tcW w:type="dxa" w:w="1234"/>
            <w:vAlign w:val="center"/>
          </w:tcPr>
          <w:p>
            <w:pPr>
              <w:jc w:val="left"/>
            </w:pPr>
            <w:r>
              <w:rPr>
                <w:rFonts w:ascii="Times New Roman" w:hAnsi="Times New Roman"/>
                <w:sz w:val="18"/>
              </w:rPr>
              <w:t>explicit human host</w:t>
            </w:r>
          </w:p>
        </w:tc>
        <w:tc>
          <w:tcPr>
            <w:tcW w:type="dxa" w:w="1234"/>
            <w:vAlign w:val="center"/>
          </w:tcPr>
          <w:p>
            <w:pPr>
              <w:jc w:val="left"/>
            </w:pPr>
            <w:r>
              <w:rPr>
                <w:rFonts w:ascii="Times New Roman" w:hAnsi="Times New Roman"/>
                <w:sz w:val="18"/>
              </w:rPr>
              <w:t>gut site</w:t>
            </w:r>
          </w:p>
        </w:tc>
        <w:tc>
          <w:tcPr>
            <w:tcW w:type="dxa" w:w="1234"/>
            <w:vAlign w:val="center"/>
          </w:tcPr>
          <w:p>
            <w:pPr>
              <w:jc w:val="left"/>
            </w:pPr>
            <w:r>
              <w:rPr>
                <w:rFonts w:ascii="Times New Roman" w:hAnsi="Times New Roman"/>
                <w:sz w:val="18"/>
              </w:rPr>
              <w:t>old column map</w:t>
            </w:r>
          </w:p>
        </w:tc>
        <w:tc>
          <w:tcPr>
            <w:tcW w:type="dxa" w:w="1234"/>
            <w:vAlign w:val="center"/>
          </w:tcPr>
          <w:p>
            <w:pPr>
              <w:jc w:val="left"/>
            </w:pPr>
            <w:r>
              <w:rPr>
                <w:rFonts w:ascii="Times New Roman" w:hAnsi="Times New Roman"/>
                <w:sz w:val="18"/>
              </w:rPr>
              <w:t>source family</w:t>
            </w:r>
          </w:p>
        </w:tc>
      </w:tr>
      <w:tr>
        <w:tc>
          <w:tcPr>
            <w:tcW w:type="dxa" w:w="1234"/>
            <w:vAlign w:val="center"/>
          </w:tcPr>
          <w:p>
            <w:pPr>
              <w:jc w:val="left"/>
            </w:pPr>
            <w:r>
              <w:rPr>
                <w:rFonts w:ascii="Times New Roman" w:hAnsi="Times New Roman"/>
                <w:sz w:val="18"/>
              </w:rPr>
              <w:t>M0633</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M2238</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M5154</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M5230</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M6006</w:t>
            </w:r>
          </w:p>
        </w:tc>
        <w:tc>
          <w:tcPr>
            <w:tcW w:type="dxa" w:w="1234"/>
            <w:vAlign w:val="center"/>
          </w:tcPr>
          <w:p>
            <w:pPr>
              <w:jc w:val="left"/>
            </w:pPr>
            <w:r>
              <w:rPr>
                <w:rFonts w:ascii="Times New Roman" w:hAnsi="Times New Roman"/>
                <w:sz w:val="18"/>
              </w:rPr>
              <w:t>assembly</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M6755</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M6794</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M6795</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bl>
    <w:p>
      <w:pPr>
        <w:spacing w:after="120"/>
        <w:jc w:val="both"/>
      </w:pPr>
      <w:r>
        <w:t>The distinction between false and unknown matters. MGYS00006755 is a host-field conflict on the exact 83 audited run columns: every linked sample reports a nonhuman host scientific name while the normalized species says Homo sapiens. Its known column mapping does not repair the biological-host disagreement. MGYS00005230, MGYS00006794 and MGYS00006795 have missing explicit host names for some or all samples and are therefore unknown on the explicit-host criterion, even when normalized species labels say human. MGYS00006006 is assembly-typed at the analysis layer and also has seven samples without usable explicit host names. MGYS00002238 and MGYS00005154 have complete human names and later exact run-column maps: the former links to oral saliva/plaque; the latter has a repeated gut-oriented description and a later identified structured feces material annotation on all 400 exact-linked samples, though no literal body-site field. MGYS00006794 has a fourth exact map, but its structured codes point to skin in conflict with its title and archive biome; explicit host names are missing. None of these four exact-mapped sources has independently verified subjects, families or rights. These statuses do not revise the 121/160 BH test or identify an assay-specific effect. They define why a future leaderboard admission procedure must check all needed evidence separately before treating any old accession row as a biological dataset. Machine-readable statuses and synthetic fail-closed tests live in results/metadata_integrity_matrix.json and tests/test_metadata_integrity_matrix.py.</w:t>
      </w:r>
    </w:p>
    <w:p>
      <w:pPr>
        <w:pStyle w:val="Heading3"/>
      </w:pPr>
      <w:r>
        <w:t>5.1.5a Fail-closed source-admission prototype</w:t>
      </w:r>
    </w:p>
    <w:p>
      <w:pPr>
        <w:spacing w:after="120"/>
        <w:jc w:val="both"/>
      </w:pPr>
      <w:r>
        <w:t>To make the integrity matrix operational rather than a decorative warning, a local admission function now evaluates seven amended fields for each already-viewed digestive candidate. A human-gut amplicon metadata review requires complete analysis and sample pagination, uniform current amplicon analysis labels, exact old SSU column-to-analysis mapping, an explicit human host field without conflict or missing names, a separate source-annotated gut-compatible collection material, and verified biological-family independence. The seventh site axis was added after the skin-code discrepancy; the original six-field gate lacked it. A blank, false or unknown value blocks the review and names every failed field. A normalized Homo sapiens code cannot substitute for explicit host or site; a title or accession count cannot prove an independent dataset. Even a feces material annotation is source metadata, not an independent tissue assay. These fields are necessary screening checks, not sufficient conditions for an external benchmark.</w:t>
      </w:r>
    </w:p>
    <w:p>
      <w:pPr>
        <w:spacing w:after="120"/>
        <w:jc w:val="both"/>
      </w:pPr>
      <w:r>
        <w:t>Applied to the 8 viewed title-unflagged records, the gate blocks 8; 0 reach metadata-ready manual review, and zero become independently validated external datasets. MGYS00006755 illustrates why the gate has several independent axes: its exact historical run-column map is now known and its current analyses are amplicon-labeled, yet its host fields conflict in every linked sample and its biological-family independence remains unknown. MGYS00005154 now passes six amended metadata fields, including structured feces material on its exact-linked 400 samples, but remains blocked on unknown biological-family independence. MGYS00006006 has assembly-typed analyses even though the narrow title rule missed it; MGYS00000633 remains unpaged and unknown. These are explicit engineering blockers for this human-gut amplicon question, not declarations that a nonhuman or assembly source has no use for another biological question.</w:t>
      </w:r>
    </w:p>
    <w:p>
      <w:pPr>
        <w:spacing w:after="120"/>
        <w:jc w:val="both"/>
      </w:pPr>
      <w:r>
        <w:t>Even a synthetic record passing all seven amended fields returns only 'metadata ready for manual review'. Historical library methods, source-specific rights, participant lineage, a frozen holdout and a same-task comparator must still be checked before any dataset could be admitted to an external leaderboard. Unit tests assert that each field independently blocks on an unverified value, that duplicate study identities fail, and that all eight real records remain blocked. No performance score is read by this gate, and the 160-study BH calls remain as archived. Protocol and exact reason-coded output: results/PREREG_20260927_source_admission_gate.md and results/source_admission_screen.json; implementation: src/microtwin/source_admission.py.</w:t>
      </w:r>
    </w:p>
    <w:p>
      <w:pPr>
        <w:pStyle w:val="Heading3"/>
      </w:pPr>
      <w:r>
        <w:t>5.1.6 A conservative source-lineage guard</w:t>
      </w:r>
    </w:p>
    <w:p>
      <w:pPr>
        <w:spacing w:after="120"/>
        <w:jc w:val="both"/>
      </w:pPr>
      <w:r>
        <w:t>The original-project sensitivity motivates an explicit partition rule for later cross-source evaluation. A study accession, its sequencing-project accession, and a derived assembly project may be different handles for related biological material. If a researcher randomises those handles independently into training and test sets, the nominal number of held-out studies can increase while the number of underlying source projects does not. Source-family registration therefore precedes split generation: each verified alias maps to one canonical family, and every registered alias in that family must be assigned to the same partition. An accession missing from the registry is not presumed independent; it remains ineligible for the known-family separation certificate until lineage is checked. The check is deliberately asymmetric: a failed split proves that known source-family separation was violated, whereas a passing split proves only that no collision in the registered aliases was found.</w:t>
      </w:r>
    </w:p>
    <w:p>
      <w:pPr>
        <w:spacing w:after="120"/>
        <w:jc w:val="both"/>
      </w:pPr>
      <w:r>
        <w:t>For the one currently confirmed MGnify lineage pair, two assembly records carry separate MGYS identifiers, separate ERP secondary accessions, and separate derived PRJEB BioProject identifiers, but both study titles identify PRJNA715245 as their original data project. The source-lineage guard registers those seven identifiers under PRJNA715245 and rejects a train/test split spanning MGYS00006825 and the ERP identifier of MGYS00006862. A same-partition assignment passes this narrow mechanical check; an unknown accession fails. This engineering test does not retrospectively split the old within-study audit, change its 160-table BH procedure, or imply that the pair has duplicate sample accessions: the live MGnify lists have no exact SRS intersection. Conversely, zero exact SRS overlap cannot exclude donor overlap, reuse of underlying reads under changed accession labels, or laboratory and analysis-pipeline correlations. The appropriate unit for a future external benchmark must be justified by its biological question and provenance, not selected to preserve a favorable win count.</w:t>
      </w:r>
    </w:p>
    <w:p>
      <w:pPr>
        <w:spacing w:after="120"/>
        <w:jc w:val="both"/>
      </w:pPr>
      <w:r>
        <w:t>A scalable provenance ledger would keep, for every candidate, the original experiment identifier, parent sequencing project, assembly parent, sample accessions, participant or cage identifier when permitted, collection site and date, assay modality, raw-file checksums, license, and train/development/final-test status. Matching would proceed from exact IDs and file hashes to documented project relationships, and only then to a clearly labeled manual review of near-duplicates; a name similarity alone cannot be promoted to identity. Modality-specific harmonisation should occur only within training folds, with its fitted taxonomy map and normalization frozen before opening a final-test source. For repeated human samples, subject-level grouping prevents a visit from appearing in both train and test; for longitudinal mouse data, cage and donor effects may require an even wider grouping. These are prospective safeguards. The existing 131 token-unresolved MGnify rows show why a 500- or 1000-row manifest does not yet equal a 500- or 1000-independent-source benchmark. Until lineage is resolved, the positive within-study predictive association remains the proper headline, not a cross-source performance claim.</w:t>
      </w:r>
    </w:p>
    <w:p>
      <w:pPr>
        <w:pStyle w:val="Heading2"/>
      </w:pPr>
      <w:r>
        <w:t>5.2 MDSINE2 benchmark: UC beat, healthy tie</w:t>
      </w:r>
    </w:p>
    <w:p>
      <w:pPr>
        <w:keepNext/>
      </w:pPr>
      <w:r>
        <w:rPr>
          <w:b/>
        </w:rPr>
        <w:t>Table 9.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pPr>
        <w:keepNext/>
      </w:pPr>
      <w:r>
        <w:rPr>
          <w:b/>
        </w:rPr>
        <w:t>Table 10.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3"/>
      </w:pPr>
      <w:r>
        <w:t>5.2.1 Biological-unit sensitivity: mice, not taxon pairs</w:t>
      </w:r>
    </w:p>
    <w:p>
      <w:pPr>
        <w:spacing w:after="120"/>
        <w:jc w:val="both"/>
      </w:pPr>
      <w:r>
        <w:t>The box-plot and Wilcoxon table use 556 or 601 taxon-mouse errors, but the independently held-out biological units are four healthy-donor mice and five UC-donor mice. Taxon errors within one mouse share the same animal, treatment course and measurement conditions, so the pair-level p-values cannot serve as mouse-level replication. To expose the unit shift, we took each mouse's median paired taxon RMSE difference between the population interpolator and MDSINE2 without modules, then enumerated every n^n resample of n mouse-level differences, using the mean across mice and 2.5%/97.5% percentiles. The same mouse can recur in a resample; these are descriptive intervals for the already viewed cohorts, not fresh animals or multiplicity-adjusted confirmation.</w:t>
      </w:r>
    </w:p>
    <w:p>
      <w:r>
        <w:br w:type="page"/>
      </w:r>
    </w:p>
    <w:p>
      <w:pPr>
        <w:keepNext/>
      </w:pPr>
      <w:r>
        <w:rPr>
          <w:b/>
        </w:rPr>
        <w:t>Table 11. Archived biological-unit sensitivity against MDSINE2 without modules. Negative gap favors the simple population baseline. Exhaustive mouse resampling has 4^4 or 5^5 draws; these are descriptive viewed-cohort intervals, not independent-study inference.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cohort</w:t>
            </w:r>
          </w:p>
        </w:tc>
        <w:tc>
          <w:tcPr>
            <w:tcW w:type="dxa" w:w="1440"/>
            <w:vAlign w:val="center"/>
          </w:tcPr>
          <w:p>
            <w:pPr>
              <w:jc w:val="left"/>
            </w:pPr>
            <w:r>
              <w:rPr>
                <w:rFonts w:ascii="Times New Roman" w:hAnsi="Times New Roman"/>
                <w:sz w:val="18"/>
              </w:rPr>
              <w:t>score</w:t>
            </w:r>
          </w:p>
        </w:tc>
        <w:tc>
          <w:tcPr>
            <w:tcW w:type="dxa" w:w="1440"/>
            <w:vAlign w:val="center"/>
          </w:tcPr>
          <w:p>
            <w:pPr>
              <w:jc w:val="left"/>
            </w:pPr>
            <w:r>
              <w:rPr>
                <w:rFonts w:ascii="Times New Roman" w:hAnsi="Times New Roman"/>
                <w:sz w:val="18"/>
              </w:rPr>
              <w:t>mice</w:t>
            </w:r>
          </w:p>
        </w:tc>
        <w:tc>
          <w:tcPr>
            <w:tcW w:type="dxa" w:w="1440"/>
            <w:vAlign w:val="center"/>
          </w:tcPr>
          <w:p>
            <w:pPr>
              <w:jc w:val="left"/>
            </w:pPr>
            <w:r>
              <w:rPr>
                <w:rFonts w:ascii="Times New Roman" w:hAnsi="Times New Roman"/>
                <w:sz w:val="18"/>
              </w:rPr>
              <w:t>negative mouse gaps</w:t>
            </w:r>
          </w:p>
        </w:tc>
        <w:tc>
          <w:tcPr>
            <w:tcW w:type="dxa" w:w="1440"/>
            <w:vAlign w:val="center"/>
          </w:tcPr>
          <w:p>
            <w:pPr>
              <w:jc w:val="left"/>
            </w:pPr>
            <w:r>
              <w:rPr>
                <w:rFonts w:ascii="Times New Roman" w:hAnsi="Times New Roman"/>
                <w:sz w:val="18"/>
              </w:rPr>
              <w:t>mean mouse-median gap</w:t>
            </w:r>
          </w:p>
        </w:tc>
        <w:tc>
          <w:tcPr>
            <w:tcW w:type="dxa" w:w="1440"/>
            <w:vAlign w:val="center"/>
          </w:tcPr>
          <w:p>
            <w:pPr>
              <w:jc w:val="left"/>
            </w:pPr>
            <w:r>
              <w:rPr>
                <w:rFonts w:ascii="Times New Roman" w:hAnsi="Times New Roman"/>
                <w:sz w:val="18"/>
              </w:rPr>
              <w:t>mouse-resample 95% interval</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-0.036</w:t>
            </w:r>
          </w:p>
        </w:tc>
        <w:tc>
          <w:tcPr>
            <w:tcW w:type="dxa" w:w="1440"/>
            <w:vAlign w:val="center"/>
          </w:tcPr>
          <w:p>
            <w:pPr>
              <w:jc w:val="left"/>
            </w:pPr>
            <w:r>
              <w:rPr>
                <w:rFonts w:ascii="Times New Roman" w:hAnsi="Times New Roman"/>
                <w:sz w:val="18"/>
              </w:rPr>
              <w:t>[-0.0978, +0.0396]</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-0.238</w:t>
            </w:r>
          </w:p>
        </w:tc>
        <w:tc>
          <w:tcPr>
            <w:tcW w:type="dxa" w:w="1440"/>
            <w:vAlign w:val="center"/>
          </w:tcPr>
          <w:p>
            <w:pPr>
              <w:jc w:val="left"/>
            </w:pPr>
            <w:r>
              <w:rPr>
                <w:rFonts w:ascii="Times New Roman" w:hAnsi="Times New Roman"/>
                <w:sz w:val="18"/>
              </w:rPr>
              <w:t>[-0.2514, -0.2284]</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-0.106</w:t>
            </w:r>
          </w:p>
        </w:tc>
        <w:tc>
          <w:tcPr>
            <w:tcW w:type="dxa" w:w="1440"/>
            <w:vAlign w:val="center"/>
          </w:tcPr>
          <w:p>
            <w:pPr>
              <w:jc w:val="left"/>
            </w:pPr>
            <w:r>
              <w:rPr>
                <w:rFonts w:ascii="Times New Roman" w:hAnsi="Times New Roman"/>
                <w:sz w:val="18"/>
              </w:rPr>
              <w:t>[-0.1351, -0.0782]</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-0.173</w:t>
            </w:r>
          </w:p>
        </w:tc>
        <w:tc>
          <w:tcPr>
            <w:tcW w:type="dxa" w:w="1440"/>
            <w:vAlign w:val="center"/>
          </w:tcPr>
          <w:p>
            <w:pPr>
              <w:jc w:val="left"/>
            </w:pPr>
            <w:r>
              <w:rPr>
                <w:rFonts w:ascii="Times New Roman" w:hAnsi="Times New Roman"/>
                <w:sz w:val="18"/>
              </w:rPr>
              <w:t>[-0.1840, -0.1576]</w:t>
            </w:r>
          </w:p>
        </w:tc>
      </w:tr>
    </w:tbl>
    <w:p>
      <w:pPr>
        <w:spacing w:after="120"/>
        <w:jc w:val="both"/>
      </w:pPr>
      <w:r>
        <w:t>On the official detected-only score the average mouse-median gap is -0.0356 for healthy and -0.1061 for UC; the healthy mouse interval crosses zero, while the UC interval in this viewed cohort does not. The 4/4 and 5/5 all-timepoint negative signs contradict the earlier prediction that adding undetected times would erase the baseline's advantage. They do not show that detected-only scoring is harmless in general, or that either cohort is stable while the other is perturbed: the source design includes diet and antibiotics in both mouse cohorts. The all-timepoint metric uses the same released measurements, not an independent experiment. The baseline and score choices were developed on these cohorts, so even an interval below zero cannot establish a new-source beat.</w:t>
      </w:r>
    </w:p>
    <w:p>
      <w:pPr>
        <w:spacing w:after="120"/>
        <w:jc w:val="both"/>
      </w:pPr>
      <w:r>
        <w:t>A defensible future power design would simulate correlated taxon trajectories at the mouse level, predefine effect size and perturbation schedule, refit both methods in every simulated training fold, and estimate power over independent mouse cohorts. Four and five mice cannot determine a universal minimum of ten; any n&gt;=10 rule is only a planning hypothesis until such design-specific curves or an external cohort are available. Detection and conditional-abundance endpoints should be defined separately before inspecting future outcomes. No such prospective power curve or dual endpoint is claimed here.</w:t>
      </w:r>
    </w:p>
    <w:p>
      <w:pPr>
        <w:pStyle w:val="Heading3"/>
      </w:pPr>
      <w:r>
        <w:t>5.2.2 Intervention-window diagnostic on previously viewed mice</w:t>
      </w:r>
    </w:p>
    <w:p>
      <w:pPr>
        <w:spacing w:after="120"/>
        <w:jc w:val="both"/>
      </w:pPr>
      <w:r>
        <w:t>Both source cohorts have the same intervention timetable: high-fat diet from days 21.5 through 28.5, vancomycin from 35.5 through 42.5, and gentamicin from 50.5 through 57.5. Therefore the earlier hypothesis that the UC-versus-healthy contrast separates perturbed and stable cohorts is false at the design level. We instead predeclared seven windows around those periods and compared the same two predictors within each cohort. Figure 3 time indices were mapped mechanically to the public post-preprocessing sample schedule, not aligned against held-out truth. The training-population baseline was fit on the other mice for each held-out animal; published MDSINE2 without modules predictions supplied the comparator. Full-period medians and pair counts reproduce the archived head-to-head outputs for both scores before slicing windows. This diagnostic was designed after seeing aggregate full-period results, so it cannot become an untouched confirmation.</w:t>
      </w:r>
    </w:p>
    <w:p>
      <w:pPr>
        <w:spacing w:after="120"/>
        <w:jc w:val="both"/>
      </w:pPr>
      <w:r>
        <w:t>The healthy cohort has 4 held-out mice and 141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12. Predeclared intervention-window diagnostic on viewed healthy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10716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-0.311</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4794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-0.104</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4935</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-0.309</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-0.163</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6204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-0.059</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514</w:t>
            </w:r>
          </w:p>
        </w:tc>
        <w:tc>
          <w:tcPr>
            <w:tcW w:type="dxa" w:w="1234"/>
            <w:vAlign w:val="center"/>
          </w:tcPr>
          <w:p>
            <w:pPr>
              <w:jc w:val="left"/>
            </w:pPr>
            <w:r>
              <w:rPr>
                <w:rFonts w:ascii="Times New Roman" w:hAnsi="Times New Roman"/>
                <w:sz w:val="18"/>
              </w:rPr>
              <w:t>5858</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-0.254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3412</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-0.075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486</w:t>
            </w:r>
          </w:p>
        </w:tc>
        <w:tc>
          <w:tcPr>
            <w:tcW w:type="dxa" w:w="1234"/>
            <w:vAlign w:val="center"/>
          </w:tcPr>
          <w:p>
            <w:pPr>
              <w:jc w:val="left"/>
            </w:pPr>
            <w:r>
              <w:rPr>
                <w:rFonts w:ascii="Times New Roman" w:hAnsi="Times New Roman"/>
                <w:sz w:val="18"/>
              </w:rPr>
              <w:t>3329</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-0.036</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446</w:t>
            </w:r>
          </w:p>
        </w:tc>
        <w:tc>
          <w:tcPr>
            <w:tcW w:type="dxa" w:w="1234"/>
            <w:vAlign w:val="center"/>
          </w:tcPr>
          <w:p>
            <w:pPr>
              <w:jc w:val="left"/>
            </w:pPr>
            <w:r>
              <w:rPr>
                <w:rFonts w:ascii="Times New Roman" w:hAnsi="Times New Roman"/>
                <w:sz w:val="18"/>
              </w:rPr>
              <w:t>2143</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-0.002</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340</w:t>
            </w:r>
          </w:p>
        </w:tc>
        <w:tc>
          <w:tcPr>
            <w:tcW w:type="dxa" w:w="1234"/>
            <w:vAlign w:val="center"/>
          </w:tcPr>
          <w:p>
            <w:pPr>
              <w:jc w:val="left"/>
            </w:pPr>
            <w:r>
              <w:rPr>
                <w:rFonts w:ascii="Times New Roman" w:hAnsi="Times New Roman"/>
                <w:sz w:val="18"/>
              </w:rPr>
              <w:t>1874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390</w:t>
            </w:r>
          </w:p>
        </w:tc>
        <w:tc>
          <w:tcPr>
            <w:tcW w:type="dxa" w:w="1234"/>
            <w:vAlign w:val="center"/>
          </w:tcPr>
          <w:p>
            <w:pPr>
              <w:jc w:val="left"/>
            </w:pPr>
            <w:r>
              <w:rPr>
                <w:rFonts w:ascii="Times New Roman" w:hAnsi="Times New Roman"/>
                <w:sz w:val="18"/>
              </w:rPr>
              <w:t>2508</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-0.118</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399</w:t>
            </w:r>
          </w:p>
        </w:tc>
        <w:tc>
          <w:tcPr>
            <w:tcW w:type="dxa" w:w="1234"/>
            <w:vAlign w:val="center"/>
          </w:tcPr>
          <w:p>
            <w:pPr>
              <w:jc w:val="left"/>
            </w:pPr>
            <w:r>
              <w:rPr>
                <w:rFonts w:ascii="Times New Roman" w:hAnsi="Times New Roman"/>
                <w:sz w:val="18"/>
              </w:rPr>
              <w:t>3218</w:t>
            </w:r>
          </w:p>
        </w:tc>
        <w:tc>
          <w:tcPr>
            <w:tcW w:type="dxa" w:w="1234"/>
            <w:vAlign w:val="center"/>
          </w:tcPr>
          <w:p>
            <w:pPr>
              <w:jc w:val="left"/>
            </w:pPr>
            <w:r>
              <w:rPr>
                <w:rFonts w:ascii="Times New Roman" w:hAnsi="Times New Roman"/>
                <w:sz w:val="18"/>
              </w:rPr>
              <w:t>0/4</w:t>
            </w:r>
          </w:p>
        </w:tc>
        <w:tc>
          <w:tcPr>
            <w:tcW w:type="dxa" w:w="1234"/>
            <w:vAlign w:val="center"/>
          </w:tcPr>
          <w:p>
            <w:pPr>
              <w:jc w:val="left"/>
            </w:pPr>
            <w:r>
              <w:rPr>
                <w:rFonts w:ascii="Times New Roman" w:hAnsi="Times New Roman"/>
                <w:sz w:val="18"/>
              </w:rPr>
              <w:t>0.025</w:t>
            </w:r>
          </w:p>
        </w:tc>
      </w:tr>
    </w:tbl>
    <w:p>
      <w:pPr>
        <w:spacing w:after="120"/>
        <w:jc w:val="both"/>
      </w:pPr>
      <w:r>
        <w:t>The uc cohort has 5 held-out mice and 121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13. Predeclared intervention-window diagnostic on viewed uc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11495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-0.220</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5203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-0.061</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-0.205</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5324</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6655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547</w:t>
            </w:r>
          </w:p>
        </w:tc>
        <w:tc>
          <w:tcPr>
            <w:tcW w:type="dxa" w:w="1234"/>
            <w:vAlign w:val="center"/>
          </w:tcPr>
          <w:p>
            <w:pPr>
              <w:jc w:val="left"/>
            </w:pPr>
            <w:r>
              <w:rPr>
                <w:rFonts w:ascii="Times New Roman" w:hAnsi="Times New Roman"/>
                <w:sz w:val="18"/>
              </w:rPr>
              <w:t>7346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-0.174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571</w:t>
            </w:r>
          </w:p>
        </w:tc>
        <w:tc>
          <w:tcPr>
            <w:tcW w:type="dxa" w:w="1234"/>
            <w:vAlign w:val="center"/>
          </w:tcPr>
          <w:p>
            <w:pPr>
              <w:jc w:val="left"/>
            </w:pPr>
            <w:r>
              <w:rPr>
                <w:rFonts w:ascii="Times New Roman" w:hAnsi="Times New Roman"/>
                <w:sz w:val="18"/>
              </w:rPr>
              <w:t>3713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-0.089</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3846</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-0.018</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501</w:t>
            </w:r>
          </w:p>
        </w:tc>
        <w:tc>
          <w:tcPr>
            <w:tcW w:type="dxa" w:w="1234"/>
            <w:vAlign w:val="center"/>
          </w:tcPr>
          <w:p>
            <w:pPr>
              <w:jc w:val="left"/>
            </w:pPr>
            <w:r>
              <w:rPr>
                <w:rFonts w:ascii="Times New Roman" w:hAnsi="Times New Roman"/>
                <w:sz w:val="18"/>
              </w:rPr>
              <w:t>2592</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-0.023</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388</w:t>
            </w:r>
          </w:p>
        </w:tc>
        <w:tc>
          <w:tcPr>
            <w:tcW w:type="dxa" w:w="1234"/>
            <w:vAlign w:val="center"/>
          </w:tcPr>
          <w:p>
            <w:pPr>
              <w:jc w:val="left"/>
            </w:pPr>
            <w:r>
              <w:rPr>
                <w:rFonts w:ascii="Times New Roman" w:hAnsi="Times New Roman"/>
                <w:sz w:val="18"/>
              </w:rPr>
              <w:t>2186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-0.263</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426</w:t>
            </w:r>
          </w:p>
        </w:tc>
        <w:tc>
          <w:tcPr>
            <w:tcW w:type="dxa" w:w="1234"/>
            <w:vAlign w:val="center"/>
          </w:tcPr>
          <w:p>
            <w:pPr>
              <w:jc w:val="left"/>
            </w:pPr>
            <w:r>
              <w:rPr>
                <w:rFonts w:ascii="Times New Roman" w:hAnsi="Times New Roman"/>
                <w:sz w:val="18"/>
              </w:rPr>
              <w:t>2992</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-0.154</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3888</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-0.037</w:t>
            </w:r>
          </w:p>
        </w:tc>
      </w:tr>
    </w:tbl>
    <w:p>
      <w:pPr>
        <w:spacing w:after="120"/>
        <w:jc w:val="both"/>
      </w:pPr>
      <w:r>
        <w:t>The all-timepoint error gap favors the simple baseline in all seven windows for all four healthy mice. In UC it favors the baseline in five of five mice in six windows, and four of five between diet and vancomycin. This is a pattern of predictive error, not a causal antibiotic response: the before/after windows move along one trajectory, the models may differ in extrapolation drift, and the data were viewed during method development. The detected-only endpoint is not uniformly baseline-favorable: after gentamicin in the healthy cohort its mean mouse-level gap is +0.025 with zero of four mice favoring the baseline. A legitimate test of whether interactions help because of a perturbation would require randomized intervention holdout, matching a no-change arm and freezing taxa, metrics and intervention contrasts before an unseen cohort is opened.</w:t>
      </w:r>
    </w:p>
    <w:p>
      <w:pPr>
        <w:pStyle w:val="Heading3"/>
      </w:pPr>
      <w:r>
        <w:t>5.2.3 Why a detection-plus-abundance score needs a compatible model output</w:t>
      </w:r>
    </w:p>
    <w:p>
      <w:pPr>
        <w:spacing w:after="120"/>
        <w:jc w:val="both"/>
      </w:pPr>
      <w:r>
        <w:t>A two-part microbiome forecast score would ideally measure both whether a taxon is detected and, conditional on detection, how far its abundance forecast misses. The first component needs calibrated probabilities or a threshold chosen using training-only data in a common absolute-abundance unit. The second can use the source paper's detected-truth log10 RMSE. To show why the distinction matters without claiming a new benchmark, we predeclared a diagnostic on the same viewed Figure 3 data: apply the truth definition (absolute abundance &gt;1e-5) to both models' raw absolute predictions and count timepoint-level true/false detections, then compute conditional RMSE without changing the original prediction arrays. This is not a score optimized for either method.</w:t>
      </w:r>
    </w:p>
    <w:p>
      <w:pPr>
        <w:keepNext/>
      </w:pPr>
      <w:r>
        <w:rPr>
          <w:b/>
        </w:rPr>
        <w:t>Table 14. Exploratory decomposition on viewed mouse cohorts. Sensitivity/specificity apply truth's &gt;1e-5 cutoff to continuous forecasts; they are NOT a fair calibrated detection leaderboard. Conditional RMSE medians reproduce the archived official paired metric.</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cohort</w:t>
            </w:r>
          </w:p>
        </w:tc>
        <w:tc>
          <w:tcPr>
            <w:tcW w:type="dxa" w:w="1080"/>
            <w:vAlign w:val="center"/>
          </w:tcPr>
          <w:p>
            <w:pPr>
              <w:jc w:val="left"/>
            </w:pPr>
            <w:r>
              <w:rPr>
                <w:rFonts w:ascii="Times New Roman" w:hAnsi="Times New Roman"/>
                <w:sz w:val="18"/>
              </w:rPr>
              <w:t>method</w:t>
            </w:r>
          </w:p>
        </w:tc>
        <w:tc>
          <w:tcPr>
            <w:tcW w:type="dxa" w:w="1080"/>
            <w:vAlign w:val="center"/>
          </w:tcPr>
          <w:p>
            <w:pPr>
              <w:jc w:val="left"/>
            </w:pPr>
            <w:r>
              <w:rPr>
                <w:rFonts w:ascii="Times New Roman" w:hAnsi="Times New Roman"/>
                <w:sz w:val="18"/>
              </w:rPr>
              <w:t>mice</w:t>
            </w:r>
          </w:p>
        </w:tc>
        <w:tc>
          <w:tcPr>
            <w:tcW w:type="dxa" w:w="1080"/>
            <w:vAlign w:val="center"/>
          </w:tcPr>
          <w:p>
            <w:pPr>
              <w:jc w:val="left"/>
            </w:pPr>
            <w:r>
              <w:rPr>
                <w:rFonts w:ascii="Times New Roman" w:hAnsi="Times New Roman"/>
                <w:sz w:val="18"/>
              </w:rPr>
              <w:t>truth-negative times</w:t>
            </w:r>
          </w:p>
        </w:tc>
        <w:tc>
          <w:tcPr>
            <w:tcW w:type="dxa" w:w="1080"/>
            <w:vAlign w:val="center"/>
          </w:tcPr>
          <w:p>
            <w:pPr>
              <w:jc w:val="left"/>
            </w:pPr>
            <w:r>
              <w:rPr>
                <w:rFonts w:ascii="Times New Roman" w:hAnsi="Times New Roman"/>
                <w:sz w:val="18"/>
              </w:rPr>
              <w:t>sensitivity</w:t>
            </w:r>
          </w:p>
        </w:tc>
        <w:tc>
          <w:tcPr>
            <w:tcW w:type="dxa" w:w="1080"/>
            <w:vAlign w:val="center"/>
          </w:tcPr>
          <w:p>
            <w:pPr>
              <w:jc w:val="left"/>
            </w:pPr>
            <w:r>
              <w:rPr>
                <w:rFonts w:ascii="Times New Roman" w:hAnsi="Times New Roman"/>
                <w:sz w:val="18"/>
              </w:rPr>
              <w:t>specificity</w:t>
            </w:r>
          </w:p>
        </w:tc>
        <w:tc>
          <w:tcPr>
            <w:tcW w:type="dxa" w:w="1080"/>
            <w:vAlign w:val="center"/>
          </w:tcPr>
          <w:p>
            <w:pPr>
              <w:jc w:val="left"/>
            </w:pPr>
            <w:r>
              <w:rPr>
                <w:rFonts w:ascii="Times New Roman" w:hAnsi="Times New Roman"/>
                <w:sz w:val="18"/>
              </w:rPr>
              <w:t>positive forecast rate</w:t>
            </w:r>
          </w:p>
        </w:tc>
        <w:tc>
          <w:tcPr>
            <w:tcW w:type="dxa" w:w="1080"/>
            <w:vAlign w:val="center"/>
          </w:tcPr>
          <w:p>
            <w:pPr>
              <w:jc w:val="left"/>
            </w:pPr>
            <w:r>
              <w:rPr>
                <w:rFonts w:ascii="Times New Roman" w:hAnsi="Times New Roman"/>
                <w:sz w:val="18"/>
              </w:rPr>
              <w:t>conditional RMSE median</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0.951</w:t>
            </w:r>
          </w:p>
        </w:tc>
        <w:tc>
          <w:tcPr>
            <w:tcW w:type="dxa" w:w="1080"/>
            <w:vAlign w:val="center"/>
          </w:tcPr>
          <w:p>
            <w:pPr>
              <w:jc w:val="left"/>
            </w:pPr>
            <w:r>
              <w:rPr>
                <w:rFonts w:ascii="Times New Roman" w:hAnsi="Times New Roman"/>
                <w:sz w:val="18"/>
              </w:rPr>
              <w:t>0.631</w:t>
            </w:r>
          </w:p>
        </w:tc>
        <w:tc>
          <w:tcPr>
            <w:tcW w:type="dxa" w:w="1080"/>
            <w:vAlign w:val="center"/>
          </w:tcPr>
          <w:p>
            <w:pPr>
              <w:jc w:val="left"/>
            </w:pPr>
            <w:r>
              <w:rPr>
                <w:rFonts w:ascii="Times New Roman" w:hAnsi="Times New Roman"/>
                <w:sz w:val="18"/>
              </w:rPr>
              <w:t>0.679</w:t>
            </w:r>
          </w:p>
        </w:tc>
        <w:tc>
          <w:tcPr>
            <w:tcW w:type="dxa" w:w="1080"/>
            <w:vAlign w:val="center"/>
          </w:tcPr>
          <w:p>
            <w:pPr>
              <w:jc w:val="left"/>
            </w:pPr>
            <w:r>
              <w:rPr>
                <w:rFonts w:ascii="Times New Roman" w:hAnsi="Times New Roman"/>
                <w:sz w:val="18"/>
              </w:rPr>
              <w:t>0.919</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0.913</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0.971</w:t>
            </w:r>
          </w:p>
        </w:tc>
        <w:tc>
          <w:tcPr>
            <w:tcW w:type="dxa" w:w="1080"/>
            <w:vAlign w:val="center"/>
          </w:tcPr>
          <w:p>
            <w:pPr>
              <w:jc w:val="left"/>
            </w:pPr>
            <w:r>
              <w:rPr>
                <w:rFonts w:ascii="Times New Roman" w:hAnsi="Times New Roman"/>
                <w:sz w:val="18"/>
              </w:rPr>
              <w:t>0.581</w:t>
            </w:r>
          </w:p>
        </w:tc>
        <w:tc>
          <w:tcPr>
            <w:tcW w:type="dxa" w:w="1080"/>
            <w:vAlign w:val="center"/>
          </w:tcPr>
          <w:p>
            <w:pPr>
              <w:jc w:val="left"/>
            </w:pPr>
            <w:r>
              <w:rPr>
                <w:rFonts w:ascii="Times New Roman" w:hAnsi="Times New Roman"/>
                <w:sz w:val="18"/>
              </w:rPr>
              <w:t>0.745</w:t>
            </w:r>
          </w:p>
        </w:tc>
        <w:tc>
          <w:tcPr>
            <w:tcW w:type="dxa" w:w="1080"/>
            <w:vAlign w:val="center"/>
          </w:tcPr>
          <w:p>
            <w:pPr>
              <w:jc w:val="left"/>
            </w:pPr>
            <w:r>
              <w:rPr>
                <w:rFonts w:ascii="Times New Roman" w:hAnsi="Times New Roman"/>
                <w:sz w:val="18"/>
              </w:rPr>
              <w:t>0.692</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0.805</w:t>
            </w:r>
          </w:p>
        </w:tc>
      </w:tr>
    </w:tbl>
    <w:p>
      <w:pPr>
        <w:spacing w:after="120"/>
        <w:jc w:val="both"/>
      </w:pPr>
      <w:r>
        <w:t>At this cutoff the released MDSINE2-without-modules continuous abundance forecasts are positive at almost all 41,877 healthy and 45,012 UC taxon-timepoints. Only eight healthy and five UC truth-negative timepoints are forecast below the cutoff, giving specificity near zero; sensitivity is 100%. The training-population baseline scores more true negatives but misses some true positives. It would be misleading to advertise the resulting balanced-accuracy gap as a new win: MDSINE2-NM did not expose a calibrated detection classifier, the truth cutoff is not a prefit model-output threshold, taxon-timepoints are repeated within four or five mice, and both source cohorts were already inspected. Conditional-abundance pair medians agree exactly with the archived official result: healthy 0.919 baseline versus 0.913 comparator, UC 0.692 versus 0.805. A proper future two-part benchmark would freeze a train-only detection calibrator and evaluate detection and abundance separately at source-family and mouse levels on a truly untouched cohort; no such evaluation exists here.</w:t>
      </w:r>
    </w:p>
    <w:p>
      <w:pPr>
        <w:pStyle w:val="Heading3"/>
      </w:pPr>
      <w:r>
        <w:t>5.2.3 Mouse-level two-part sensitivity</w:t>
      </w:r>
    </w:p>
    <w:p>
      <w:pPr>
        <w:spacing w:after="120"/>
        <w:jc w:val="both"/>
      </w:pPr>
      <w:r>
        <w:t>Pooling tens of thousands of taxon-timepoints is useful for checking a forecast-output threshold, but it hides the actual sample size of four healthy-donor and five UC-donor mice. We therefore applied the same fixed threshold separately to each held-out mouse, with no new threshold fit. The observed detection statuses, prediction construction, and detected-only abundance errors are unchanged; per-mouse confusion matrices sum exactly to the pooled counts above and per-mouse conditional RMSE matches the earlier calculation. The table reports equal-weight mouse medians and median within-mouse baseline-minus-MDSINE2-no-modules differences, not confidence intervals over pseudo-replicated timepoints.</w:t>
      </w:r>
    </w:p>
    <w:p>
      <w:pPr>
        <w:keepNext/>
      </w:pPr>
      <w:r>
        <w:rPr>
          <w:b/>
        </w:rPr>
        <w:t>Table 15. Exploratory viewed-cohort per-mouse decomposition. Difference is baseline minus MDSINE2 without modules; lower conditional RMSE is better. Detection cutoff applied directly to continuous forecasts is not a calibrated detector benchmark.</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cohort</w:t>
            </w:r>
          </w:p>
        </w:tc>
        <w:tc>
          <w:tcPr>
            <w:tcW w:type="dxa" w:w="1234"/>
            <w:vAlign w:val="center"/>
          </w:tcPr>
          <w:p>
            <w:pPr>
              <w:jc w:val="left"/>
            </w:pPr>
            <w:r>
              <w:rPr>
                <w:rFonts w:ascii="Times New Roman" w:hAnsi="Times New Roman"/>
                <w:sz w:val="18"/>
              </w:rPr>
              <w:t>endpoint</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baseline median</w:t>
            </w:r>
          </w:p>
        </w:tc>
        <w:tc>
          <w:tcPr>
            <w:tcW w:type="dxa" w:w="1234"/>
            <w:vAlign w:val="center"/>
          </w:tcPr>
          <w:p>
            <w:pPr>
              <w:jc w:val="left"/>
            </w:pPr>
            <w:r>
              <w:rPr>
                <w:rFonts w:ascii="Times New Roman" w:hAnsi="Times New Roman"/>
                <w:sz w:val="18"/>
              </w:rPr>
              <w:t>comparator median</w:t>
            </w:r>
          </w:p>
        </w:tc>
        <w:tc>
          <w:tcPr>
            <w:tcW w:type="dxa" w:w="1234"/>
            <w:vAlign w:val="center"/>
          </w:tcPr>
          <w:p>
            <w:pPr>
              <w:jc w:val="left"/>
            </w:pPr>
            <w:r>
              <w:rPr>
                <w:rFonts w:ascii="Times New Roman" w:hAnsi="Times New Roman"/>
                <w:sz w:val="18"/>
              </w:rPr>
              <w:t>paired median difference</w:t>
            </w:r>
          </w:p>
        </w:tc>
        <w:tc>
          <w:tcPr>
            <w:tcW w:type="dxa" w:w="1234"/>
            <w:vAlign w:val="center"/>
          </w:tcPr>
          <w:p>
            <w:pPr>
              <w:jc w:val="left"/>
            </w:pPr>
            <w:r>
              <w:rPr>
                <w:rFonts w:ascii="Times New Roman" w:hAnsi="Times New Roman"/>
                <w:sz w:val="18"/>
              </w:rPr>
              <w:t>baseline higher/lower mice</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0.951</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0.795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0.295</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0.679</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-0.321</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0.923</w:t>
            </w:r>
          </w:p>
        </w:tc>
        <w:tc>
          <w:tcPr>
            <w:tcW w:type="dxa" w:w="1234"/>
            <w:vAlign w:val="center"/>
          </w:tcPr>
          <w:p>
            <w:pPr>
              <w:jc w:val="left"/>
            </w:pPr>
            <w:r>
              <w:rPr>
                <w:rFonts w:ascii="Times New Roman" w:hAnsi="Times New Roman"/>
                <w:sz w:val="18"/>
              </w:rPr>
              <w:t>0.917</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1/3</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0.973</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0.775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0.746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-0.253</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0.712</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-0.130</w:t>
            </w:r>
          </w:p>
        </w:tc>
        <w:tc>
          <w:tcPr>
            <w:tcW w:type="dxa" w:w="1234"/>
            <w:vAlign w:val="center"/>
          </w:tcPr>
          <w:p>
            <w:pPr>
              <w:jc w:val="left"/>
            </w:pPr>
            <w:r>
              <w:rPr>
                <w:rFonts w:ascii="Times New Roman" w:hAnsi="Times New Roman"/>
                <w:sz w:val="18"/>
              </w:rPr>
              <w:t>0/5</w:t>
            </w:r>
          </w:p>
        </w:tc>
      </w:tr>
    </w:tbl>
    <w:p>
      <w:pPr>
        <w:spacing w:after="120"/>
        <w:jc w:val="both"/>
      </w:pPr>
      <w:r>
        <w:t>Every healthy mouse has baseline specificity greater than 0.595 and the continuous MDSINE2-no-modules output has zero or near-zero specificity at the raw truth cutoff. The pattern repeats in every UC mouse, with baseline specificity 0.572-0.590 and comparator specificity 0-0.0011. This consistency across mice prevents one unusually sampled subject from explaining the pooled output-threshold incompatibility, but it does not create a fair detection leaderboard: the continuous comparator was not trained or calibrated to issue binary calls at this cutoff. Predicting almost all timepoints as positive also gives it perfect sensitivity by construction. The abundance story is separate. The baseline has lower conditional RMSE in three of four healthy mice yet a slightly worse pooled taxon-pair median, illustrating how aggregation and the biological unit alter the description without changing any forecast. It has lower conditional RMSE in all five UC mice. Neither within-cohort pattern establishes source transfer, clinical detection accuracy, or the response to diet or antibiotics. A prospective head-to-head would define a train-only detection score and threshold for each method, preserve mouse or donor grouping, and test the frozen pipelines on a disjoint source family.</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pPr>
        <w:keepNext/>
      </w:pPr>
      <w:r>
        <w:rPr>
          <w:b/>
        </w:rPr>
        <w:t>Table 16.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3"/>
      </w:pPr>
      <w:r>
        <w:t>5.3.1 Local model capacity and budget inventory</w:t>
      </w:r>
    </w:p>
    <w:p>
      <w:pPr>
        <w:spacing w:after="120"/>
        <w:jc w:val="both"/>
      </w:pPr>
      <w:r>
        <w:t>The critique rightly asks whether the local model ranking reflects ecological information or a capacity and optimization mismatch. To make that question testable, we counted trainable scalar weights in the exact local implementations at each of the six already viewed cNODE dataset dimensions and paired the counts with their archived ten-fold sample-error vectors. The closed-form presence mean counts one fitted mean per taxon, while cNODE has a full n-by-n matrix and the gLV implementation has that matrix plus n intrinsic rates. GraphTwin's default two-layer, 32-dimensional architecture has roughly fourteen to sixteen thousand trainable scalars. The table is an inventory of available comparisons, not a matched-parameter or matched-FLOP experiment. It preserves the archived same-fold vectors rather than rerunning or choosing a width after seeing the test errors.</w:t>
      </w:r>
    </w:p>
    <w:p>
      <w:pPr>
        <w:keepNext/>
      </w:pPr>
      <w:r>
        <w:rPr>
          <w:b/>
        </w:rPr>
        <w:t>Table 17. Local implementation and archived same-fold error inventory, on six viewed cNODE ecosystem tables. Counts omit non-trainable buffers; zero epochs means a closed-form prior. Error medians are local ten-fold values, not the published cNODE LOO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taxa</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fitted scalars</w:t>
            </w:r>
          </w:p>
        </w:tc>
        <w:tc>
          <w:tcPr>
            <w:tcW w:type="dxa" w:w="1234"/>
            <w:vAlign w:val="center"/>
          </w:tcPr>
          <w:p>
            <w:pPr>
              <w:jc w:val="left"/>
            </w:pPr>
            <w:r>
              <w:rPr>
                <w:rFonts w:ascii="Times New Roman" w:hAnsi="Times New Roman"/>
                <w:sz w:val="18"/>
              </w:rPr>
              <w:t>epochs</w:t>
            </w:r>
          </w:p>
        </w:tc>
        <w:tc>
          <w:tcPr>
            <w:tcW w:type="dxa" w:w="1234"/>
            <w:vAlign w:val="center"/>
          </w:tcPr>
          <w:p>
            <w:pPr>
              <w:jc w:val="left"/>
            </w:pPr>
            <w:r>
              <w:rPr>
                <w:rFonts w:ascii="Times New Roman" w:hAnsi="Times New Roman"/>
                <w:sz w:val="18"/>
              </w:rPr>
              <w:t>10-fold BC median</w:t>
            </w:r>
          </w:p>
        </w:tc>
        <w:tc>
          <w:tcPr>
            <w:tcW w:type="dxa" w:w="1234"/>
            <w:vAlign w:val="center"/>
          </w:tcPr>
          <w:p>
            <w:pPr>
              <w:jc w:val="left"/>
            </w:pPr>
            <w:r>
              <w:rPr>
                <w:rFonts w:ascii="Times New Roman" w:hAnsi="Times New Roman"/>
                <w:sz w:val="18"/>
              </w:rPr>
              <w:t>better/worse samples vs prior</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25</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16/7</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30</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17/6</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13761</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15/8</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22/21</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72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13857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21/122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69/74</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75/68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3364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31/75</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3422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58/48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15457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49/57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51/217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180/88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158/110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1296</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314/364</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1332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466/212</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14753</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407/271</w:t>
            </w:r>
          </w:p>
        </w:tc>
      </w:tr>
    </w:tbl>
    <w:p>
      <w:pPr>
        <w:spacing w:after="120"/>
        <w:jc w:val="both"/>
      </w:pPr>
      <w:r>
        <w:t>Increasing scalar count does not order the six local scores. In human gut, the 58-parameter population prior has median BC 0.256, compared with cNODE's 3,364 parameters at 0.275, gLV's 3,422 at 0.244 and GraphTwin's 15,457 at 0.287. On Drosophila gut, the 30-parameter gLV has median 0.052 versus 13,761-parameter GraphTwin at 0.093, though the previously reported gLV ten-fold apparent beat over published cNODE was retracted after a protocol-matched leave-one-out check. On Ocean, gLV and GraphTwin both have lower local ten-fold medians than the 73-parameter prior, 0.070 and 0.071 versus 0.093. These observations show no simple monotone model-size ranking; they cannot tell whether larger networks lack signal, are over- or underfit, or optimize a mismatched objective. cNODE and gLV use 200 epochs at learning rate 0.01, while GraphTwin uses 150 at 0.005, and different forward passes make even equal epochs unequal compute. Optimizer convergence, seed variance, FLOPs and wall-time by fold were not pinned in the old result JSONs. A credible capacity pivot must preselect widths and depths, parameter-matched variants within architecture, identical frozen folds, several training seeds and train-only early stopping, and then report model failure and compute along with error on an independent source. This inventory answers what was fit locally, not why one class wins.</w:t>
      </w:r>
    </w:p>
    <w:p>
      <w:pPr>
        <w:pStyle w:val="Heading2"/>
      </w:pPr>
      <w:r>
        <w:t>5.4 cNODE benchmark: interactions help outside humans, not detectably on human data</w:t>
      </w:r>
    </w:p>
    <w:p>
      <w:pPr>
        <w:keepNext/>
      </w:pPr>
      <w:r>
        <w:rPr>
          <w:b/>
        </w:rPr>
        <w:t>Table 18.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pPr>
        <w:keepNext/>
      </w:pPr>
      <w:r>
        <w:rPr>
          <w:b/>
        </w:rPr>
        <w:t>Table 19.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these human oral and gut tables the published-number comparison falls within sampling noise of a model with no interactions. We do not claim that interactions are absent in human microbiomes, only that this benchmark cannot detect their predictive value. Our GraphTwin, a larger model, does no better (human gut 0.287 under 10-fold CV), which does not distinguish limited signal from model-fitting or capacity limitations.</w:t>
      </w:r>
    </w:p>
    <w:p>
      <w:pPr>
        <w:pStyle w:val="Heading3"/>
      </w:pPr>
      <w:r>
        <w:t>5.4.1 Internal split-calibrated error radii, not a reliability index</w:t>
      </w:r>
    </w:p>
    <w:p>
      <w:pPr>
        <w:spacing w:after="120"/>
        <w:jc w:val="both"/>
      </w:pPr>
      <w:r>
        <w:t>A local research predictor can state what its uncertainty check actually measured without turning it into a clinical or cross-source promise. We fitted the same PresenceMean composition prior separately on 60% of each of six previously viewed cNODE ecosystem tables, calibrated on floor 20%, and checked the remaining samples after assemblage deduplication under one seed. For each labeled calibration sample we computed Bray-Curtis error between the fixed predictor and observed composition. At target miscoverage alpha=0.1, the radius is the ceil((n_cal+1)(1-alpha))-th sorted calibration error; if that rank exceeds n_cal, it returns the vacuous Bray-Curtis maximum 1. This is an error-radius check for a composition predictor, not a set of intervals for individual taxa.</w:t>
      </w:r>
    </w:p>
    <w:p>
      <w:pPr>
        <w:keepNext/>
      </w:pPr>
      <w:r>
        <w:rPr>
          <w:b/>
        </w:rPr>
        <w:t>Table 20. One 60/20/20 within-table split for the PresenceMean baseline, seed zero. Empirical test coverage is descriptive; nominal 90% marginal coverage requires exchangeability and does not hold deterministically in each finite test set.</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ecosystem</w:t>
            </w:r>
          </w:p>
        </w:tc>
        <w:tc>
          <w:tcPr>
            <w:tcW w:type="dxa" w:w="1080"/>
            <w:vAlign w:val="center"/>
          </w:tcPr>
          <w:p>
            <w:pPr>
              <w:jc w:val="left"/>
            </w:pPr>
            <w:r>
              <w:rPr>
                <w:rFonts w:ascii="Times New Roman" w:hAnsi="Times New Roman"/>
                <w:sz w:val="18"/>
              </w:rPr>
              <w:t>train</w:t>
            </w:r>
          </w:p>
        </w:tc>
        <w:tc>
          <w:tcPr>
            <w:tcW w:type="dxa" w:w="1080"/>
            <w:vAlign w:val="center"/>
          </w:tcPr>
          <w:p>
            <w:pPr>
              <w:jc w:val="left"/>
            </w:pPr>
            <w:r>
              <w:rPr>
                <w:rFonts w:ascii="Times New Roman" w:hAnsi="Times New Roman"/>
                <w:sz w:val="18"/>
              </w:rPr>
              <w:t>cal</w:t>
            </w:r>
          </w:p>
        </w:tc>
        <w:tc>
          <w:tcPr>
            <w:tcW w:type="dxa" w:w="1080"/>
            <w:vAlign w:val="center"/>
          </w:tcPr>
          <w:p>
            <w:pPr>
              <w:jc w:val="left"/>
            </w:pPr>
            <w:r>
              <w:rPr>
                <w:rFonts w:ascii="Times New Roman" w:hAnsi="Times New Roman"/>
                <w:sz w:val="18"/>
              </w:rPr>
              <w:t>test</w:t>
            </w:r>
          </w:p>
        </w:tc>
        <w:tc>
          <w:tcPr>
            <w:tcW w:type="dxa" w:w="1080"/>
            <w:vAlign w:val="center"/>
          </w:tcPr>
          <w:p>
            <w:pPr>
              <w:jc w:val="left"/>
            </w:pPr>
            <w:r>
              <w:rPr>
                <w:rFonts w:ascii="Times New Roman" w:hAnsi="Times New Roman"/>
                <w:sz w:val="18"/>
              </w:rPr>
              <w:t>radius</w:t>
            </w:r>
          </w:p>
        </w:tc>
        <w:tc>
          <w:tcPr>
            <w:tcW w:type="dxa" w:w="1080"/>
            <w:vAlign w:val="center"/>
          </w:tcPr>
          <w:p>
            <w:pPr>
              <w:jc w:val="left"/>
            </w:pPr>
            <w:r>
              <w:rPr>
                <w:rFonts w:ascii="Times New Roman" w:hAnsi="Times New Roman"/>
                <w:sz w:val="18"/>
              </w:rPr>
              <w:t>covered</w:t>
            </w:r>
          </w:p>
        </w:tc>
        <w:tc>
          <w:tcPr>
            <w:tcW w:type="dxa" w:w="1080"/>
            <w:vAlign w:val="center"/>
          </w:tcPr>
          <w:p>
            <w:pPr>
              <w:jc w:val="left"/>
            </w:pPr>
            <w:r>
              <w:rPr>
                <w:rFonts w:ascii="Times New Roman" w:hAnsi="Times New Roman"/>
                <w:sz w:val="18"/>
              </w:rPr>
              <w:t>empirical coverage</w:t>
            </w:r>
          </w:p>
        </w:tc>
        <w:tc>
          <w:tcPr>
            <w:tcW w:type="dxa" w:w="1080"/>
            <w:vAlign w:val="center"/>
          </w:tcPr>
          <w:p>
            <w:pPr>
              <w:jc w:val="left"/>
            </w:pPr>
            <w:r>
              <w:rPr>
                <w:rFonts w:ascii="Times New Roman" w:hAnsi="Times New Roman"/>
                <w:sz w:val="18"/>
              </w:rPr>
              <w:t>vacuous</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161</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52/55</w:t>
            </w:r>
          </w:p>
        </w:tc>
        <w:tc>
          <w:tcPr>
            <w:tcW w:type="dxa" w:w="1080"/>
            <w:vAlign w:val="center"/>
          </w:tcPr>
          <w:p>
            <w:pPr>
              <w:jc w:val="left"/>
            </w:pPr>
            <w:r>
              <w:rPr>
                <w:rFonts w:ascii="Times New Roman" w:hAnsi="Times New Roman"/>
                <w:sz w:val="18"/>
              </w:rPr>
              <w:t>94.5%</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14</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6</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yes</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9</w:t>
            </w:r>
          </w:p>
        </w:tc>
        <w:tc>
          <w:tcPr>
            <w:tcW w:type="dxa" w:w="1080"/>
            <w:vAlign w:val="center"/>
          </w:tcPr>
          <w:p>
            <w:pPr>
              <w:jc w:val="left"/>
            </w:pPr>
            <w:r>
              <w:rPr>
                <w:rFonts w:ascii="Times New Roman" w:hAnsi="Times New Roman"/>
                <w:sz w:val="18"/>
              </w:rPr>
              <w:t>11</w:t>
            </w:r>
          </w:p>
        </w:tc>
        <w:tc>
          <w:tcPr>
            <w:tcW w:type="dxa" w:w="1080"/>
            <w:vAlign w:val="center"/>
          </w:tcPr>
          <w:p>
            <w:pPr>
              <w:jc w:val="left"/>
            </w:pPr>
            <w:r>
              <w:rPr>
                <w:rFonts w:ascii="Times New Roman" w:hAnsi="Times New Roman"/>
                <w:sz w:val="18"/>
              </w:rPr>
              <w:t>0.441</w:t>
            </w:r>
          </w:p>
        </w:tc>
        <w:tc>
          <w:tcPr>
            <w:tcW w:type="dxa" w:w="1080"/>
            <w:vAlign w:val="center"/>
          </w:tcPr>
          <w:p>
            <w:pPr>
              <w:jc w:val="left"/>
            </w:pPr>
            <w:r>
              <w:rPr>
                <w:rFonts w:ascii="Times New Roman" w:hAnsi="Times New Roman"/>
                <w:sz w:val="18"/>
              </w:rPr>
              <w:t>9/11</w:t>
            </w:r>
          </w:p>
        </w:tc>
        <w:tc>
          <w:tcPr>
            <w:tcW w:type="dxa" w:w="1080"/>
            <w:vAlign w:val="center"/>
          </w:tcPr>
          <w:p>
            <w:pPr>
              <w:jc w:val="left"/>
            </w:pPr>
            <w:r>
              <w:rPr>
                <w:rFonts w:ascii="Times New Roman" w:hAnsi="Times New Roman"/>
                <w:sz w:val="18"/>
              </w:rPr>
              <w:t>81.8%</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Soil Vivo</w:t>
            </w:r>
          </w:p>
        </w:tc>
        <w:tc>
          <w:tcPr>
            <w:tcW w:type="dxa" w:w="1080"/>
            <w:vAlign w:val="center"/>
          </w:tcPr>
          <w:p>
            <w:pPr>
              <w:jc w:val="left"/>
            </w:pPr>
            <w:r>
              <w:rPr>
                <w:rFonts w:ascii="Times New Roman" w:hAnsi="Times New Roman"/>
                <w:sz w:val="18"/>
              </w:rPr>
              <w:t>406</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122/137</w:t>
            </w:r>
          </w:p>
        </w:tc>
        <w:tc>
          <w:tcPr>
            <w:tcW w:type="dxa" w:w="1080"/>
            <w:vAlign w:val="center"/>
          </w:tcPr>
          <w:p>
            <w:pPr>
              <w:jc w:val="left"/>
            </w:pPr>
            <w:r>
              <w:rPr>
                <w:rFonts w:ascii="Times New Roman" w:hAnsi="Times New Roman"/>
                <w:sz w:val="18"/>
              </w:rPr>
              <w:t>89.1%</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29/30</w:t>
            </w:r>
          </w:p>
        </w:tc>
        <w:tc>
          <w:tcPr>
            <w:tcW w:type="dxa" w:w="1080"/>
            <w:vAlign w:val="center"/>
          </w:tcPr>
          <w:p>
            <w:pPr>
              <w:jc w:val="left"/>
            </w:pPr>
            <w:r>
              <w:rPr>
                <w:rFonts w:ascii="Times New Roman" w:hAnsi="Times New Roman"/>
                <w:sz w:val="18"/>
              </w:rPr>
              <w:t>96.7%</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22</w:t>
            </w:r>
          </w:p>
        </w:tc>
        <w:tc>
          <w:tcPr>
            <w:tcW w:type="dxa" w:w="1080"/>
            <w:vAlign w:val="center"/>
          </w:tcPr>
          <w:p>
            <w:pPr>
              <w:jc w:val="left"/>
            </w:pPr>
            <w:r>
              <w:rPr>
                <w:rFonts w:ascii="Times New Roman" w:hAnsi="Times New Roman"/>
                <w:sz w:val="18"/>
              </w:rPr>
              <w:t>0.430</w:t>
            </w:r>
          </w:p>
        </w:tc>
        <w:tc>
          <w:tcPr>
            <w:tcW w:type="dxa" w:w="1080"/>
            <w:vAlign w:val="center"/>
          </w:tcPr>
          <w:p>
            <w:pPr>
              <w:jc w:val="left"/>
            </w:pPr>
            <w:r>
              <w:rPr>
                <w:rFonts w:ascii="Times New Roman" w:hAnsi="Times New Roman"/>
                <w:sz w:val="18"/>
              </w:rPr>
              <w:t>19/22</w:t>
            </w:r>
          </w:p>
        </w:tc>
        <w:tc>
          <w:tcPr>
            <w:tcW w:type="dxa" w:w="1080"/>
            <w:vAlign w:val="center"/>
          </w:tcPr>
          <w:p>
            <w:pPr>
              <w:jc w:val="left"/>
            </w:pPr>
            <w:r>
              <w:rPr>
                <w:rFonts w:ascii="Times New Roman" w:hAnsi="Times New Roman"/>
                <w:sz w:val="18"/>
              </w:rPr>
              <w:t>86.4%</w:t>
            </w:r>
          </w:p>
        </w:tc>
        <w:tc>
          <w:tcPr>
            <w:tcW w:type="dxa" w:w="1080"/>
            <w:vAlign w:val="center"/>
          </w:tcPr>
          <w:p>
            <w:pPr>
              <w:jc w:val="left"/>
            </w:pPr>
            <w:r>
              <w:rPr>
                <w:rFonts w:ascii="Times New Roman" w:hAnsi="Times New Roman"/>
                <w:sz w:val="18"/>
              </w:rPr>
              <w:t>no</w:t>
            </w:r>
          </w:p>
        </w:tc>
      </w:tr>
    </w:tbl>
    <w:p>
      <w:pPr>
        <w:spacing w:after="120"/>
        <w:jc w:val="both"/>
      </w:pPr>
      <w:r>
        <w:t>The Ocean test covered 52/55 observations at radius 0.223; Human Oral covered 29/30 at radius 0.407. Soil in vitro covered 9/11, Soil in vivo 122/137 and Human Gut 19/22, all below 90% as realized proportions. Drosophila Gut covered 6/6 only because four calibration samples forced the vacuous radius 1.0; it provides no useful discrimination. Small finite test proportions are not direct proof of a failure of marginal conformal theory, and a radius calibrated on one table need not transfer to a new biome, assay, participant or perturbation. The source tables were already viewed and their split is within-dataset, not a held-out biological source. No Twin Reliability Index is calibrated or reported. Source SHA-256 values, splits, quantile ranks and exact result fractions are in results/internal_conformal_check.json; implementation: scripts/internal_conformal_check.py and src/microtwin/conformal.py.</w:t>
      </w:r>
    </w:p>
    <w:p>
      <w:pPr>
        <w:pStyle w:val="Heading3"/>
      </w:pPr>
      <w:r>
        <w:t>5.4.2 End-to-end predictor check after input-only abstention</w:t>
      </w:r>
    </w:p>
    <w:p>
      <w:pPr>
        <w:spacing w:after="120"/>
        <w:jc w:val="both"/>
      </w:pPr>
      <w:r>
        <w:t>The preceding radius calculation checked the frozen model directly. A separate already-run end-to-end check fed six previously viewed tables into the released local calibrated-prediction path with the same seeded candidate split. The command refuses a calibration or query sample with a present taxon absent from the training vocabulary. The check therefore removed such rows using only their input taxon presence, before measuring errors, then reported coverage on the admissible test rows. This conditional denominator differs from the all-candidate split in Section 5.4.1: it cannot be presented as unconditional 90% coverage or as successful prediction of abstained rows.</w:t>
      </w:r>
    </w:p>
    <w:p>
      <w:pPr>
        <w:keepNext/>
      </w:pPr>
      <w:r>
        <w:rPr>
          <w:b/>
        </w:rPr>
        <w:t>Table 21. Actual local calibrated prediction path on six already-viewed cNODE tables. Rows with unseen present taxa were excluded by input-only abstention before scoring; split seed zero. This is an admissible-row sensitivity, not an external validation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ecosystem</w:t>
            </w:r>
          </w:p>
        </w:tc>
        <w:tc>
          <w:tcPr>
            <w:tcW w:type="dxa" w:w="1234"/>
            <w:vAlign w:val="center"/>
          </w:tcPr>
          <w:p>
            <w:pPr>
              <w:jc w:val="left"/>
            </w:pPr>
            <w:r>
              <w:rPr>
                <w:rFonts w:ascii="Times New Roman" w:hAnsi="Times New Roman"/>
                <w:sz w:val="18"/>
              </w:rPr>
              <w:t>cal kept/candidate</w:t>
            </w:r>
          </w:p>
        </w:tc>
        <w:tc>
          <w:tcPr>
            <w:tcW w:type="dxa" w:w="1234"/>
            <w:vAlign w:val="center"/>
          </w:tcPr>
          <w:p>
            <w:pPr>
              <w:jc w:val="left"/>
            </w:pPr>
            <w:r>
              <w:rPr>
                <w:rFonts w:ascii="Times New Roman" w:hAnsi="Times New Roman"/>
                <w:sz w:val="18"/>
              </w:rPr>
              <w:t>test kept/candidate</w:t>
            </w:r>
          </w:p>
        </w:tc>
        <w:tc>
          <w:tcPr>
            <w:tcW w:type="dxa" w:w="1234"/>
            <w:vAlign w:val="center"/>
          </w:tcPr>
          <w:p>
            <w:pPr>
              <w:jc w:val="left"/>
            </w:pPr>
            <w:r>
              <w:rPr>
                <w:rFonts w:ascii="Times New Roman" w:hAnsi="Times New Roman"/>
                <w:sz w:val="18"/>
              </w:rPr>
              <w:t>radius</w:t>
            </w:r>
          </w:p>
        </w:tc>
        <w:tc>
          <w:tcPr>
            <w:tcW w:type="dxa" w:w="1234"/>
            <w:vAlign w:val="center"/>
          </w:tcPr>
          <w:p>
            <w:pPr>
              <w:jc w:val="left"/>
            </w:pPr>
            <w:r>
              <w:rPr>
                <w:rFonts w:ascii="Times New Roman" w:hAnsi="Times New Roman"/>
                <w:sz w:val="18"/>
              </w:rPr>
              <w:t>covered/scored</w:t>
            </w:r>
          </w:p>
        </w:tc>
        <w:tc>
          <w:tcPr>
            <w:tcW w:type="dxa" w:w="1234"/>
            <w:vAlign w:val="center"/>
          </w:tcPr>
          <w:p>
            <w:pPr>
              <w:jc w:val="left"/>
            </w:pPr>
            <w:r>
              <w:rPr>
                <w:rFonts w:ascii="Times New Roman" w:hAnsi="Times New Roman"/>
                <w:sz w:val="18"/>
              </w:rPr>
              <w:t>scored coverage</w:t>
            </w:r>
          </w:p>
        </w:tc>
        <w:tc>
          <w:tcPr>
            <w:tcW w:type="dxa" w:w="1234"/>
            <w:vAlign w:val="center"/>
          </w:tcPr>
          <w:p>
            <w:pPr>
              <w:jc w:val="left"/>
            </w:pPr>
            <w:r>
              <w:rPr>
                <w:rFonts w:ascii="Times New Roman" w:hAnsi="Times New Roman"/>
                <w:sz w:val="18"/>
              </w:rPr>
              <w:t>vacuous</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52/53</w:t>
            </w:r>
          </w:p>
        </w:tc>
        <w:tc>
          <w:tcPr>
            <w:tcW w:type="dxa" w:w="1234"/>
            <w:vAlign w:val="center"/>
          </w:tcPr>
          <w:p>
            <w:pPr>
              <w:jc w:val="left"/>
            </w:pPr>
            <w:r>
              <w:rPr>
                <w:rFonts w:ascii="Times New Roman" w:hAnsi="Times New Roman"/>
                <w:sz w:val="18"/>
              </w:rPr>
              <w:t>55/55</w:t>
            </w:r>
          </w:p>
        </w:tc>
        <w:tc>
          <w:tcPr>
            <w:tcW w:type="dxa" w:w="1234"/>
            <w:vAlign w:val="center"/>
          </w:tcPr>
          <w:p>
            <w:pPr>
              <w:jc w:val="left"/>
            </w:pPr>
            <w:r>
              <w:rPr>
                <w:rFonts w:ascii="Times New Roman" w:hAnsi="Times New Roman"/>
                <w:sz w:val="18"/>
              </w:rPr>
              <w:t>0.193</w:t>
            </w:r>
          </w:p>
        </w:tc>
        <w:tc>
          <w:tcPr>
            <w:tcW w:type="dxa" w:w="1234"/>
            <w:vAlign w:val="center"/>
          </w:tcPr>
          <w:p>
            <w:pPr>
              <w:jc w:val="left"/>
            </w:pPr>
            <w:r>
              <w:rPr>
                <w:rFonts w:ascii="Times New Roman" w:hAnsi="Times New Roman"/>
                <w:sz w:val="18"/>
              </w:rPr>
              <w:t>51/55</w:t>
            </w:r>
          </w:p>
        </w:tc>
        <w:tc>
          <w:tcPr>
            <w:tcW w:type="dxa" w:w="1234"/>
            <w:vAlign w:val="center"/>
          </w:tcPr>
          <w:p>
            <w:pPr>
              <w:jc w:val="left"/>
            </w:pPr>
            <w:r>
              <w:rPr>
                <w:rFonts w:ascii="Times New Roman" w:hAnsi="Times New Roman"/>
                <w:sz w:val="18"/>
              </w:rPr>
              <w:t>92.7%</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Drosophila Gut</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6/6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6/6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yes</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9/9</w:t>
            </w:r>
          </w:p>
        </w:tc>
        <w:tc>
          <w:tcPr>
            <w:tcW w:type="dxa" w:w="1234"/>
            <w:vAlign w:val="center"/>
          </w:tcPr>
          <w:p>
            <w:pPr>
              <w:jc w:val="left"/>
            </w:pPr>
            <w:r>
              <w:rPr>
                <w:rFonts w:ascii="Times New Roman" w:hAnsi="Times New Roman"/>
                <w:sz w:val="18"/>
              </w:rPr>
              <w:t>11/11</w:t>
            </w:r>
          </w:p>
        </w:tc>
        <w:tc>
          <w:tcPr>
            <w:tcW w:type="dxa" w:w="1234"/>
            <w:vAlign w:val="center"/>
          </w:tcPr>
          <w:p>
            <w:pPr>
              <w:jc w:val="left"/>
            </w:pPr>
            <w:r>
              <w:rPr>
                <w:rFonts w:ascii="Times New Roman" w:hAnsi="Times New Roman"/>
                <w:sz w:val="18"/>
              </w:rPr>
              <w:t>0.441</w:t>
            </w:r>
          </w:p>
        </w:tc>
        <w:tc>
          <w:tcPr>
            <w:tcW w:type="dxa" w:w="1234"/>
            <w:vAlign w:val="center"/>
          </w:tcPr>
          <w:p>
            <w:pPr>
              <w:jc w:val="left"/>
            </w:pPr>
            <w:r>
              <w:rPr>
                <w:rFonts w:ascii="Times New Roman" w:hAnsi="Times New Roman"/>
                <w:sz w:val="18"/>
              </w:rPr>
              <w:t>9/11</w:t>
            </w:r>
          </w:p>
        </w:tc>
        <w:tc>
          <w:tcPr>
            <w:tcW w:type="dxa" w:w="1234"/>
            <w:vAlign w:val="center"/>
          </w:tcPr>
          <w:p>
            <w:pPr>
              <w:jc w:val="left"/>
            </w:pPr>
            <w:r>
              <w:rPr>
                <w:rFonts w:ascii="Times New Roman" w:hAnsi="Times New Roman"/>
                <w:sz w:val="18"/>
              </w:rPr>
              <w:t>81.8%</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132/135</w:t>
            </w:r>
          </w:p>
        </w:tc>
        <w:tc>
          <w:tcPr>
            <w:tcW w:type="dxa" w:w="1234"/>
            <w:vAlign w:val="center"/>
          </w:tcPr>
          <w:p>
            <w:pPr>
              <w:jc w:val="left"/>
            </w:pPr>
            <w:r>
              <w:rPr>
                <w:rFonts w:ascii="Times New Roman" w:hAnsi="Times New Roman"/>
                <w:sz w:val="18"/>
              </w:rPr>
              <w:t>135/137</w:t>
            </w:r>
          </w:p>
        </w:tc>
        <w:tc>
          <w:tcPr>
            <w:tcW w:type="dxa" w:w="1234"/>
            <w:vAlign w:val="center"/>
          </w:tcPr>
          <w:p>
            <w:pPr>
              <w:jc w:val="left"/>
            </w:pPr>
            <w:r>
              <w:rPr>
                <w:rFonts w:ascii="Times New Roman" w:hAnsi="Times New Roman"/>
                <w:sz w:val="18"/>
              </w:rPr>
              <w:t>0.225</w:t>
            </w:r>
          </w:p>
        </w:tc>
        <w:tc>
          <w:tcPr>
            <w:tcW w:type="dxa" w:w="1234"/>
            <w:vAlign w:val="center"/>
          </w:tcPr>
          <w:p>
            <w:pPr>
              <w:jc w:val="left"/>
            </w:pPr>
            <w:r>
              <w:rPr>
                <w:rFonts w:ascii="Times New Roman" w:hAnsi="Times New Roman"/>
                <w:sz w:val="18"/>
              </w:rPr>
              <w:t>120/135</w:t>
            </w:r>
          </w:p>
        </w:tc>
        <w:tc>
          <w:tcPr>
            <w:tcW w:type="dxa" w:w="1234"/>
            <w:vAlign w:val="center"/>
          </w:tcPr>
          <w:p>
            <w:pPr>
              <w:jc w:val="left"/>
            </w:pPr>
            <w:r>
              <w:rPr>
                <w:rFonts w:ascii="Times New Roman" w:hAnsi="Times New Roman"/>
                <w:sz w:val="18"/>
              </w:rPr>
              <w:t>88.9%</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Human Oral</w:t>
            </w:r>
          </w:p>
        </w:tc>
        <w:tc>
          <w:tcPr>
            <w:tcW w:type="dxa" w:w="1234"/>
            <w:vAlign w:val="center"/>
          </w:tcPr>
          <w:p>
            <w:pPr>
              <w:jc w:val="left"/>
            </w:pPr>
            <w:r>
              <w:rPr>
                <w:rFonts w:ascii="Times New Roman" w:hAnsi="Times New Roman"/>
                <w:sz w:val="18"/>
              </w:rPr>
              <w:t>26/28</w:t>
            </w:r>
          </w:p>
        </w:tc>
        <w:tc>
          <w:tcPr>
            <w:tcW w:type="dxa" w:w="1234"/>
            <w:vAlign w:val="center"/>
          </w:tcPr>
          <w:p>
            <w:pPr>
              <w:jc w:val="left"/>
            </w:pPr>
            <w:r>
              <w:rPr>
                <w:rFonts w:ascii="Times New Roman" w:hAnsi="Times New Roman"/>
                <w:sz w:val="18"/>
              </w:rPr>
              <w:t>28/30</w:t>
            </w:r>
          </w:p>
        </w:tc>
        <w:tc>
          <w:tcPr>
            <w:tcW w:type="dxa" w:w="1234"/>
            <w:vAlign w:val="center"/>
          </w:tcPr>
          <w:p>
            <w:pPr>
              <w:jc w:val="left"/>
            </w:pPr>
            <w:r>
              <w:rPr>
                <w:rFonts w:ascii="Times New Roman" w:hAnsi="Times New Roman"/>
                <w:sz w:val="18"/>
              </w:rPr>
              <w:t>0.407</w:t>
            </w:r>
          </w:p>
        </w:tc>
        <w:tc>
          <w:tcPr>
            <w:tcW w:type="dxa" w:w="1234"/>
            <w:vAlign w:val="center"/>
          </w:tcPr>
          <w:p>
            <w:pPr>
              <w:jc w:val="left"/>
            </w:pPr>
            <w:r>
              <w:rPr>
                <w:rFonts w:ascii="Times New Roman" w:hAnsi="Times New Roman"/>
                <w:sz w:val="18"/>
              </w:rPr>
              <w:t>27/28</w:t>
            </w:r>
          </w:p>
        </w:tc>
        <w:tc>
          <w:tcPr>
            <w:tcW w:type="dxa" w:w="1234"/>
            <w:vAlign w:val="center"/>
          </w:tcPr>
          <w:p>
            <w:pPr>
              <w:jc w:val="left"/>
            </w:pPr>
            <w:r>
              <w:rPr>
                <w:rFonts w:ascii="Times New Roman" w:hAnsi="Times New Roman"/>
                <w:sz w:val="18"/>
              </w:rPr>
              <w:t>96.4%</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Human Gut</w:t>
            </w:r>
          </w:p>
        </w:tc>
        <w:tc>
          <w:tcPr>
            <w:tcW w:type="dxa" w:w="1234"/>
            <w:vAlign w:val="center"/>
          </w:tcPr>
          <w:p>
            <w:pPr>
              <w:jc w:val="left"/>
            </w:pPr>
            <w:r>
              <w:rPr>
                <w:rFonts w:ascii="Times New Roman" w:hAnsi="Times New Roman"/>
                <w:sz w:val="18"/>
              </w:rPr>
              <w:t>21/21</w:t>
            </w:r>
          </w:p>
        </w:tc>
        <w:tc>
          <w:tcPr>
            <w:tcW w:type="dxa" w:w="1234"/>
            <w:vAlign w:val="center"/>
          </w:tcPr>
          <w:p>
            <w:pPr>
              <w:jc w:val="left"/>
            </w:pPr>
            <w:r>
              <w:rPr>
                <w:rFonts w:ascii="Times New Roman" w:hAnsi="Times New Roman"/>
                <w:sz w:val="18"/>
              </w:rPr>
              <w:t>22/22</w:t>
            </w:r>
          </w:p>
        </w:tc>
        <w:tc>
          <w:tcPr>
            <w:tcW w:type="dxa" w:w="1234"/>
            <w:vAlign w:val="center"/>
          </w:tcPr>
          <w:p>
            <w:pPr>
              <w:jc w:val="left"/>
            </w:pPr>
            <w:r>
              <w:rPr>
                <w:rFonts w:ascii="Times New Roman" w:hAnsi="Times New Roman"/>
                <w:sz w:val="18"/>
              </w:rPr>
              <w:t>0.430</w:t>
            </w:r>
          </w:p>
        </w:tc>
        <w:tc>
          <w:tcPr>
            <w:tcW w:type="dxa" w:w="1234"/>
            <w:vAlign w:val="center"/>
          </w:tcPr>
          <w:p>
            <w:pPr>
              <w:jc w:val="left"/>
            </w:pPr>
            <w:r>
              <w:rPr>
                <w:rFonts w:ascii="Times New Roman" w:hAnsi="Times New Roman"/>
                <w:sz w:val="18"/>
              </w:rPr>
              <w:t>19/22</w:t>
            </w:r>
          </w:p>
        </w:tc>
        <w:tc>
          <w:tcPr>
            <w:tcW w:type="dxa" w:w="1234"/>
            <w:vAlign w:val="center"/>
          </w:tcPr>
          <w:p>
            <w:pPr>
              <w:jc w:val="left"/>
            </w:pPr>
            <w:r>
              <w:rPr>
                <w:rFonts w:ascii="Times New Roman" w:hAnsi="Times New Roman"/>
                <w:sz w:val="18"/>
              </w:rPr>
              <w:t>86.4%</w:t>
            </w:r>
          </w:p>
        </w:tc>
        <w:tc>
          <w:tcPr>
            <w:tcW w:type="dxa" w:w="1234"/>
            <w:vAlign w:val="center"/>
          </w:tcPr>
          <w:p>
            <w:pPr>
              <w:jc w:val="left"/>
            </w:pPr>
            <w:r>
              <w:rPr>
                <w:rFonts w:ascii="Times New Roman" w:hAnsi="Times New Roman"/>
                <w:sz w:val="18"/>
              </w:rPr>
              <w:t>no</w:t>
            </w:r>
          </w:p>
        </w:tc>
      </w:tr>
    </w:tbl>
    <w:p>
      <w:pPr>
        <w:spacing w:after="120"/>
        <w:jc w:val="both"/>
      </w:pPr>
      <w:r>
        <w:t>Ocean loses one of 53 calibration candidates and covers 51/55 scored tests at radius 0.193. Soil in vivo loses three calibration and two test candidates, then covers 120/135 at radius 0.225. Human Oral loses two calibration and two test rows, covering 27/28 at radius 0.407. Soil in vitro still covers 9/11, Human Gut 19/22, and Drosophila Gut 6/6 with the same vacuous radius 1.0. For every scored table, the command's predictions match the archived PresenceMean implementation to better than 2e-15 absolute maximum deviation; this is a numerical implementation check, not independent ecological replication. No experiment here verifies sample exchangeability across participants or source families, and no Twin Reliability Index or clinical guarantee follows. Candidate and scored counts, source hashes and per-table numerical deviations are in results/local_calibrated_six_dataset_check.json; runnable check: scripts/local_calibrated_six_dataset_check.py.</w:t>
      </w:r>
    </w:p>
    <w:p>
      <w:pPr>
        <w:pStyle w:val="Heading1"/>
      </w:pPr>
      <w:r>
        <w:t>Measured extension: first-period stool-metabolite forecasting</w:t>
      </w:r>
    </w:p>
    <w:p>
      <w:pPr>
        <w:spacing w:after="120"/>
        <w:jc w:val="both"/>
      </w:pPr>
      <w:r>
        <w:t>A personalized research platform needs a task with measurable targets, known sample units and an honest boundary around what its model predicts. The next measured extension therefore uses targeted stool short-chain fatty acid (SCFA) concentrations rather than borrowing an unverified taxonomic table or treating predicted gene functions as observed biology. The public 2026 yogurt and rolled-oats crossover study supplies an explicitly CC BY 4.0 metabolite deposit, Zenodo record 15363886. Its eight analytes are 2-methylbutyric acid, acetic acid, butyric acid, hexanoic acid, isobutyric acid, isovaleric acid, propionic acid and valeric acid, measured in micrograms per gram of stool. This is a different measurement contract from relative microbial abundance: concentrations are not normalized to sum to one, and predicting them does not certify taxonomic composition, causal ecological interactions or clinical benefit.</w:t>
      </w:r>
    </w:p>
    <w:p>
      <w:pPr>
        <w:spacing w:after="120"/>
        <w:jc w:val="both"/>
      </w:pPr>
      <w:r>
        <w:t>The original trial randomized 119 adults; 110 completed all four phases. Each participant consumed 250 grams of yogurt daily in one four-week intervention and the same yogurt plus 50 grams of rolled oats daily in another. Treatment order was randomized, with four-week washout phases. The deposit contains 462 samples, of which 440 are main samples and 22 are quality-control duplicates. All main samples form unique submitted subject-time coordinates across four phases. The analysis deliberately uses only the first baseline and first post-intervention sample. It does not learn from the second intervention, pool repeated periods as independent people or assume that washout eliminated carryover. Group A receives yogurt first and group B receives yogurt plus oats first. The model sees that intervention label, but the task remains a forecast in observed treated participants, not an estimate of what the same person would have experienced without treatment.</w:t>
      </w:r>
    </w:p>
    <w:p>
      <w:pPr>
        <w:spacing w:after="120"/>
        <w:jc w:val="both"/>
      </w:pPr>
      <w:r>
        <w:t>Metadata inspection preceded any concentration scoring. This order found an important difference between nominal phase labels and actual collection dates. First-period intervals range from 24 to 138 days in the deposited metadata, while later washout intervals include two nonpositive values and some date endpoints do not parse. These entries were not silently repaired. The frozen first-period task retains only baseline-to-follow-up intervals of 21 through 35 days, inclusive. This bounds collection separation without pretending that dietary start, adherence or exact exposure duration were measured by the sample label. The result cannot support a continuous-time kinetic model or a clinical scheduling recommendation. Public scripts elsewhere in the author repository include illustrative participant clinical records; those records are neither model features nor public outputs of this analysis.</w:t>
      </w:r>
    </w:p>
    <w:p>
      <w:pPr>
        <w:spacing w:after="120"/>
        <w:jc w:val="both"/>
      </w:pPr>
      <w:r>
        <w:t>The concentration workbook has 3,696 unique sample-analyte records, exactly eight for each of its 462 sample labels, and those labels match the metabolite metadata. Units and material are uniform. The local reproduction script verifies the original workbook MD5 and metadata SHA-256 before processing. Primary assay eligibility is strict: all baseline and target cells must be finite nonnegative numbers, within their stated lower and upper quantitation limits, and free of nonempty analysis comments. The laboratory report says that values outside calibration range may be extrapolated and flagged BLOQ or ALOQ. The analysis does not convert those flags to zero, remove an inconvenient metabolite, or impute a favorable response. Complete-case filtering leaves 84 subjects, 42 in each treatment-order group. Twenty-five subjects fail the assay rule and one fails the collection interval. This restriction is material: the estimates apply to quantifiable complete cases, not all randomized participants or all low-concentration specimens.</w:t>
      </w:r>
    </w:p>
    <w:p>
      <w:pPr>
        <w:spacing w:after="120"/>
        <w:jc w:val="both"/>
      </w:pPr>
      <w:r>
        <w:t>A frozen five-fold subject split holds out entire submitted people. Within each arm, sorted subject labels are shuffled with a fixed random seed and assigned cyclically to folds. Log1p baseline concentrations are standardized using training-fold statistics. A ridge model with fixed alpha 10 predicts change in log concentration from eight baseline features, the assigned first intervention, and eight baseline-by-intervention products. Predicted target log concentrations are clipped only below zero; there is no compositional projection. No hyperparameter search, effect-based feature selection or alternate model variant follows the score. The comparators are persistence, training-only same-arm mean log change, and the mean change of the three nearest same-arm baseline donors. Neighbors are selected in training-standardized baseline space. This is a demanding practical comparison because a personalized predictor must add value over carrying the last measurement forward or borrowing an observed donor response.</w:t>
      </w:r>
    </w:p>
    <w:p>
      <w:pPr>
        <w:spacing w:after="120"/>
        <w:jc w:val="both"/>
      </w:pPr>
      <w:r>
        <w:t>The primary error averages absolute log concentration errors across analytes after scaling by each target-log training-fold standard deviation, then averages over held-out subjects. Scaling prevents a large natural range in one analyte from dominating every other target; it does not create a universal reliability score. Secondary results retain unscaled log errors and per-analyte errors. The useful-win rule was frozen before outcome inspection: at least ten percent lower primary error than each comparator, with a negative upper bound on each paired subject-bootstrap interval. The bootstrap uses 2,000 subject resamples and is descriptive within this study. It does not establish independent-source replication, correct for all previous development choices or supply calibrated patient-level prediction intervals.</w:t>
      </w:r>
    </w:p>
    <w:p>
      <w:pPr>
        <w:keepNext/>
      </w:pPr>
      <w:r>
        <w:rPr>
          <w:b/>
        </w:rPr>
        <w:t>Table 22. First-period SCFA held-subject development forecasts, 84 complete-case subjects; smaller error is better.</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Forecast</w:t>
            </w:r>
          </w:p>
        </w:tc>
        <w:tc>
          <w:tcPr>
            <w:tcW w:type="dxa" w:w="2880"/>
            <w:vAlign w:val="center"/>
          </w:tcPr>
          <w:p>
            <w:pPr>
              <w:jc w:val="left"/>
            </w:pPr>
            <w:r>
              <w:rPr>
                <w:rFonts w:ascii="Times New Roman" w:hAnsi="Times New Roman"/>
                <w:sz w:val="18"/>
              </w:rPr>
              <w:t>Standardized log error</w:t>
            </w:r>
          </w:p>
        </w:tc>
        <w:tc>
          <w:tcPr>
            <w:tcW w:type="dxa" w:w="2880"/>
            <w:vAlign w:val="center"/>
          </w:tcPr>
          <w:p>
            <w:pPr>
              <w:jc w:val="left"/>
            </w:pPr>
            <w:r>
              <w:rPr>
                <w:rFonts w:ascii="Times New Roman" w:hAnsi="Times New Roman"/>
                <w:sz w:val="18"/>
              </w:rPr>
              <w:t>Unscaled log error</w:t>
            </w:r>
          </w:p>
        </w:tc>
      </w:tr>
      <w:tr>
        <w:tc>
          <w:tcPr>
            <w:tcW w:type="dxa" w:w="2880"/>
            <w:vAlign w:val="center"/>
          </w:tcPr>
          <w:p>
            <w:pPr>
              <w:jc w:val="left"/>
            </w:pPr>
            <w:r>
              <w:rPr>
                <w:rFonts w:ascii="Times New Roman" w:hAnsi="Times New Roman"/>
                <w:sz w:val="18"/>
              </w:rPr>
              <w:t>ridge</w:t>
            </w:r>
          </w:p>
        </w:tc>
        <w:tc>
          <w:tcPr>
            <w:tcW w:type="dxa" w:w="2880"/>
            <w:vAlign w:val="center"/>
          </w:tcPr>
          <w:p>
            <w:pPr>
              <w:jc w:val="left"/>
            </w:pPr>
            <w:r>
              <w:rPr>
                <w:rFonts w:ascii="Times New Roman" w:hAnsi="Times New Roman"/>
                <w:sz w:val="18"/>
              </w:rPr>
              <w:t>0.703</w:t>
            </w:r>
          </w:p>
        </w:tc>
        <w:tc>
          <w:tcPr>
            <w:tcW w:type="dxa" w:w="2880"/>
            <w:vAlign w:val="center"/>
          </w:tcPr>
          <w:p>
            <w:pPr>
              <w:jc w:val="left"/>
            </w:pPr>
            <w:r>
              <w:rPr>
                <w:rFonts w:ascii="Times New Roman" w:hAnsi="Times New Roman"/>
                <w:sz w:val="18"/>
              </w:rPr>
              <w:t>0.447</w:t>
            </w:r>
          </w:p>
        </w:tc>
      </w:tr>
      <w:tr>
        <w:tc>
          <w:tcPr>
            <w:tcW w:type="dxa" w:w="2880"/>
            <w:vAlign w:val="center"/>
          </w:tcPr>
          <w:p>
            <w:pPr>
              <w:jc w:val="left"/>
            </w:pPr>
            <w:r>
              <w:rPr>
                <w:rFonts w:ascii="Times New Roman" w:hAnsi="Times New Roman"/>
                <w:sz w:val="18"/>
              </w:rPr>
              <w:t>persistence</w:t>
            </w:r>
          </w:p>
        </w:tc>
        <w:tc>
          <w:tcPr>
            <w:tcW w:type="dxa" w:w="2880"/>
            <w:vAlign w:val="center"/>
          </w:tcPr>
          <w:p>
            <w:pPr>
              <w:jc w:val="left"/>
            </w:pPr>
            <w:r>
              <w:rPr>
                <w:rFonts w:ascii="Times New Roman" w:hAnsi="Times New Roman"/>
                <w:sz w:val="18"/>
              </w:rPr>
              <w:t>0.799</w:t>
            </w:r>
          </w:p>
        </w:tc>
        <w:tc>
          <w:tcPr>
            <w:tcW w:type="dxa" w:w="2880"/>
            <w:vAlign w:val="center"/>
          </w:tcPr>
          <w:p>
            <w:pPr>
              <w:jc w:val="left"/>
            </w:pPr>
            <w:r>
              <w:rPr>
                <w:rFonts w:ascii="Times New Roman" w:hAnsi="Times New Roman"/>
                <w:sz w:val="18"/>
              </w:rPr>
              <w:t>0.495</w:t>
            </w:r>
          </w:p>
        </w:tc>
      </w:tr>
      <w:tr>
        <w:tc>
          <w:tcPr>
            <w:tcW w:type="dxa" w:w="2880"/>
            <w:vAlign w:val="center"/>
          </w:tcPr>
          <w:p>
            <w:pPr>
              <w:jc w:val="left"/>
            </w:pPr>
            <w:r>
              <w:rPr>
                <w:rFonts w:ascii="Times New Roman" w:hAnsi="Times New Roman"/>
                <w:sz w:val="18"/>
              </w:rPr>
              <w:t>arm_mean</w:t>
            </w:r>
          </w:p>
        </w:tc>
        <w:tc>
          <w:tcPr>
            <w:tcW w:type="dxa" w:w="2880"/>
            <w:vAlign w:val="center"/>
          </w:tcPr>
          <w:p>
            <w:pPr>
              <w:jc w:val="left"/>
            </w:pPr>
            <w:r>
              <w:rPr>
                <w:rFonts w:ascii="Times New Roman" w:hAnsi="Times New Roman"/>
                <w:sz w:val="18"/>
              </w:rPr>
              <w:t>0.807</w:t>
            </w:r>
          </w:p>
        </w:tc>
        <w:tc>
          <w:tcPr>
            <w:tcW w:type="dxa" w:w="2880"/>
            <w:vAlign w:val="center"/>
          </w:tcPr>
          <w:p>
            <w:pPr>
              <w:jc w:val="left"/>
            </w:pPr>
            <w:r>
              <w:rPr>
                <w:rFonts w:ascii="Times New Roman" w:hAnsi="Times New Roman"/>
                <w:sz w:val="18"/>
              </w:rPr>
              <w:t>0.502</w:t>
            </w:r>
          </w:p>
        </w:tc>
      </w:tr>
      <w:tr>
        <w:tc>
          <w:tcPr>
            <w:tcW w:type="dxa" w:w="2880"/>
            <w:vAlign w:val="center"/>
          </w:tcPr>
          <w:p>
            <w:pPr>
              <w:jc w:val="left"/>
            </w:pPr>
            <w:r>
              <w:rPr>
                <w:rFonts w:ascii="Times New Roman" w:hAnsi="Times New Roman"/>
                <w:sz w:val="18"/>
              </w:rPr>
              <w:t>nearest_three</w:t>
            </w:r>
          </w:p>
        </w:tc>
        <w:tc>
          <w:tcPr>
            <w:tcW w:type="dxa" w:w="2880"/>
            <w:vAlign w:val="center"/>
          </w:tcPr>
          <w:p>
            <w:pPr>
              <w:jc w:val="left"/>
            </w:pPr>
            <w:r>
              <w:rPr>
                <w:rFonts w:ascii="Times New Roman" w:hAnsi="Times New Roman"/>
                <w:sz w:val="18"/>
              </w:rPr>
              <w:t>0.776</w:t>
            </w:r>
          </w:p>
        </w:tc>
        <w:tc>
          <w:tcPr>
            <w:tcW w:type="dxa" w:w="2880"/>
            <w:vAlign w:val="center"/>
          </w:tcPr>
          <w:p>
            <w:pPr>
              <w:jc w:val="left"/>
            </w:pPr>
            <w:r>
              <w:rPr>
                <w:rFonts w:ascii="Times New Roman" w:hAnsi="Times New Roman"/>
                <w:sz w:val="18"/>
              </w:rPr>
              <w:t>0.497</w:t>
            </w:r>
          </w:p>
        </w:tc>
      </w:tr>
    </w:tbl>
    <w:p>
      <w:pPr>
        <w:spacing w:after="120"/>
        <w:jc w:val="both"/>
      </w:pPr>
      <w:r>
        <w:t>The fixed ridge forecast has primary mean error 0.702517, compared with 0.798983 for persistence, 0.806896 for same-arm mean change and 0.775684 for nearest-three donors. Relative improvements are 12.07, 12.94 and 9.43 percent. The corresponding paired model-minus-reference bootstrap intervals are [-0.169426, -0.022469], [-0.172099, -0.034693] and [-0.123910, -0.020608]. Thus the model improves the aggregate metric against all three fixed baselines in this development evaluation, but the third improvement falls below the required ten percent. The recorded verdict is useful_win=False. This distinction matters: a favorable direction of error change does not satisfy a preregistered usefulness rule. The threshold is not lowered to rescue the result, and a close miss is not promoted to a win against a leading external tool.</w:t>
      </w:r>
    </w:p>
    <w:p>
      <w:pPr>
        <w:spacing w:after="120"/>
        <w:jc w:val="both"/>
      </w:pPr>
      <w:r>
        <w:t>Aggregate accuracy also hides target-specific weaknesses. Hexanoic acid has mean absolute log error 0.690508 under ridge, worse than persistence at 0.601259. A user should not infer that every metabolite benefits from the aggregate improvement. All eligible subjects are scored once, predictions are finite, and replacing held-out targets leaves their predictions unchanged. The mandatory replacement check refits the five folds for verification, giving ten small fits in total: five scoring fits and five verification fits. This exceeds the brief five-fit execution estimate but stays inside the frozen single-thread, 120-second evaluation limit; measured evaluation time is 0.287 seconds. No extra scientific variant or paid compute was used. These checks establish local execution properties, not true biological identity or generalization to a new laboratory.</w:t>
      </w:r>
    </w:p>
    <w:p>
      <w:pPr>
        <w:pStyle w:val="Heading1"/>
      </w:pPr>
      <w:r>
        <w:t>Source admission is part of the measurement, not a dataset count</w:t>
      </w:r>
    </w:p>
    <w:p>
      <w:pPr>
        <w:spacing w:after="120"/>
        <w:jc w:val="both"/>
      </w:pPr>
      <w:r>
        <w:t>Several apparently suitable antibiotic cohorts did not supply the full evidence needed for a comparable task. CEREMI has multiple publications and accessions from the same trial, not independent replication. Hagan has a well-defined antibiotic course and a primary deposit, but this bounded inventory inspection did not retrieve a taxonomic table with an exact phase, subject and collection-time join. Raymond has clear cefprozil dosing and untreated controls, yet its inspected supplements contain quality-control and statistical tables rather than an identified complete abundance matrix. Its final sample label denotes ninety days after treatment end, so treating that label as ninety days after first dose would alter the time axis. Zaura provides an important further warning: the primary study selected its shotgun pairs for the largest observed microbiome changes. Such a selected subset cannot be an unbiased multimodal validation sample merely because two assays exist.</w:t>
      </w:r>
    </w:p>
    <w:p>
      <w:pPr>
        <w:spacing w:after="120"/>
        <w:jc w:val="both"/>
      </w:pPr>
      <w:r>
        <w:t>Palleja illustrates why processed-data availability alone is insufficient. Its author archive is retrievable and its primary sample table has 57 specimens from twelve donors. An educational mirror has 57 abundance-table headers, but eight primary sample IDs carry an opt suffix absent from the mirror. The analysis does not strip the suffix and assert provenance. The earlier clinical report also describes stool collected before named visits and an additional antibiotic course in one participant. The bounded author archive contains more than one gigabyte of uncompressed tables and no README, license or sample-map member in its inspected inventory. The approved extraction stop was honored. This is not proof that the source is unusable forever; it is a precisely described admission gap. A later MISO diet deposit similarly uses an other-open label without explicit reuse terms in the inspected archive. Its seven-day homogeneous diet and measured outputs cannot be substituted for four-week yogurt/oat SCFA validation without a separate task contract.</w:t>
      </w:r>
    </w:p>
    <w:p>
      <w:pPr>
        <w:spacing w:after="120"/>
        <w:jc w:val="both"/>
      </w:pPr>
      <w:r>
        <w:t>The licensed SCFA route therefore adds a small, reproducible quantitative test and exposes a modest predictive signal, while leaving the larger scientific promises open. Its concentrations are now viewed development data, not an untouched holdout. The taxonomic GitHub tables stay metadata-only because the article license and metabolite-deposit license do not automatically establish their own reuse scope. Neither the source hunt nor the SCFA forecast closes independent top-tool benchmarking, causal perturbation validation, replicated keystone discovery, foundation-scale training or external calibration. The appropriate next scientific question is whether a locked transferable task works in an independently recruited, measurement-compatible and explicitly reusable cohort. If those requirements fail, the platform should abstain rather than accumulate nominal datasets or relabel a same-study result as discovery.</w:t>
      </w:r>
    </w:p>
    <w:p>
      <w:pPr>
        <w:pStyle w:val="Heading1"/>
      </w:pPr>
      <w:r>
        <w:t>Operational contract for a local research run</w:t>
      </w:r>
    </w:p>
    <w:p>
      <w:pPr>
        <w:spacing w:after="120"/>
        <w:jc w:val="both"/>
      </w:pPr>
      <w:r>
        <w:t>The current platform is a set of local research programs, not a hosted patient service. Its practical contribution is to make a limited prediction reproducible while keeping questions that it cannot answer separate. A researcher first decides whether the target is composition conditional on an observed assemblage, a future measured metabolite, or a response to an intervention. These targets need different input and validation contracts. A species-removal screen changes the assemblage supplied to a composition predictor, but does not thereby identify the composition that would occur after removing that organism in a person. A model can calculate a number for the changed input even when the biological contrast is unidentified. The workflow must stop that numerical operation from becoming an unsupported treatment recommendation.</w:t>
      </w:r>
    </w:p>
    <w:p>
      <w:pPr>
        <w:spacing w:after="120"/>
        <w:jc w:val="both"/>
      </w:pPr>
      <w:r>
        <w:t>For the implemented composition baseline, each labeled training row represents a submitted sample and each column a taxon. Counts are normalized within each row before the population mean is computed, so a deeply sequenced sample does not receive more weight merely because it has more reads. The query supplies binary presence indicators, not its unknown outcome abundances. The prediction masks the population mean to the taxa present in the query and renormalizes their weights. A small smoothing term is applied only after the unseen-present-taxon check. Consequently, smoothing cannot manufacture evidence for an organism absent from all training samples. This rule is intentionally simple. Its behavior is inspectable, but its simplicity is not proof that it is the best predictor or that a population average captures a particular person.</w:t>
      </w:r>
    </w:p>
    <w:p>
      <w:pPr>
        <w:spacing w:after="120"/>
        <w:jc w:val="both"/>
      </w:pPr>
      <w:r>
        <w:t>The table contract is strict at the local file boundary. CSV or TSV files are limited to fifty million bytes each. The first column must be sample_id, remaining column names must be unique and nonempty, and every numeric entry must be finite. Training counts must be integers; submitted relative abundances must sum to one within the implemented tolerance. Query taxa must match both training names and column order exactly, query identifiers must not overlap training identifiers, and every query must contain at least one present taxon. A present taxon with zero empirical training abundance leads to abstention. These restrictions reduce silent numerical errors and accidental leakage. They do not detect every renamed duplicate, identify a laboratory method, establish a biological taxon equivalence, or recover an omitted organism.</w:t>
      </w:r>
    </w:p>
    <w:p>
      <w:pPr>
        <w:spacing w:after="120"/>
        <w:jc w:val="both"/>
      </w:pPr>
      <w:r>
        <w:t>The strict prediction route adds a measurement contract before writing an output. The contract supplies source family, specimen material, assay, taxonomy version, processing pipeline and unit for training and query. Declared measurement fields must match, the source family must match the requested source label, and cross-source prediction abstains because an independently validated bridge is not implemented. Matching declarations establish consistency between submitted labels, not their truth. The researcher must retain the source documents behind the declarations. A copied assay name or a shared genus label cannot turn a V4 amplicon table into a shotgun table, make saliva interchangeable with feces, or establish that two processing pipelines have equivalent detection limits.</w:t>
      </w:r>
    </w:p>
    <w:p>
      <w:pPr>
        <w:spacing w:after="120"/>
        <w:jc w:val="both"/>
      </w:pPr>
      <w:r>
        <w:t>Subject maps address a second boundary that sample identifiers alone cannot protect. The checked route can require exact sample-to-submitted-subject maps for training and query, with one mapping for every sample. Overlap between submitted subjects then fails even if their sample names differ. When the query map is absent, the report explicitly leaves query-subject separation unverified. This distinction matters in longitudinal studies, where many valid sample rows can come from one person. Renaming that person across files still defeats an exact-label check. Source recruitment records, family relationships and specimen provenance therefore remain part of the scientific admission process, rather than claims supplied by a successful software return code.</w:t>
      </w:r>
    </w:p>
    <w:p>
      <w:pPr>
        <w:pStyle w:val="Heading1"/>
      </w:pPr>
      <w:r>
        <w:t>Calibration, integrity and the meaning of an abstention</w:t>
      </w:r>
    </w:p>
    <w:p>
      <w:pPr>
        <w:spacing w:after="120"/>
        <w:jc w:val="both"/>
      </w:pPr>
      <w:r>
        <w:t>A calibrated local run adds a separate labeled calibration table after the predictor has been defined from training data. The reported Bray-Curtis radius uses the finite-sample rank ceiling of (n_cal+1)(1-alpha). If that rank exceeds the available calibration count, the radius is the maximum distance, one. That output is valid as an explicit lack of useful precision, not a reason to reduce the nominal coverage target after seeing the result. The radius concerns marginal error under exchangeability of calibration and future queries. It is not a conditional interval for a named individual, a probability of clinical harm, or a guarantee for a new intervention or laboratory. The observed same-dataset coverage diagnostics earlier in this paper must be read with their precise candidate, excluded and scored denominators.</w:t>
      </w:r>
    </w:p>
    <w:p>
      <w:pPr>
        <w:spacing w:after="120"/>
        <w:jc w:val="both"/>
      </w:pPr>
      <w:r>
        <w:t>The reliability ledger preserves five separate evidence components: prediction accuracy, predictive interaction dependence, uncertainty calibration, transferability and robustness. Even when a caller supplies all five numbers, the implementation does not average them into a score. It records them as reported but unvalidated and leaves the composite index unavailable. This is a deliberate separation between an engineering interface and a scientific result. A high number for one component cannot replace missing transfer evidence, and arbitrary weights would hide a decision that has never been calibrated on independent sources. The correct output for the present platform is the evidence vector and its missing fields, not a patient-facing percentage of trust.</w:t>
      </w:r>
    </w:p>
    <w:p>
      <w:pPr>
        <w:spacing w:after="120"/>
        <w:jc w:val="both"/>
      </w:pPr>
      <w:r>
        <w:t>A checked composition run can write an integrity receipt alongside its new prediction CSV. The receipt binds hashes and byte counts of the training file, query, measurement contract, prediction and any included subject maps. Input hashes are rechecked during the run to detect changes between inspection and prediction. Existing output and receipt paths are refused. If receipt creation fails after prediction creation, the implementation removes that new prediction output rather than leave an apparently complete paired deliverable. This is local failure handling, not a transaction guarantee across machines, a cryptographic signature, or authentication of the researcher. Replacing both an artifact and its receipt can defeat a plain hash comparison. The receipt also does not embed the input tables, although its run report may contain local paths and source labels and should be treated as private working material.</w:t>
      </w:r>
    </w:p>
    <w:p>
      <w:pPr>
        <w:spacing w:after="120"/>
        <w:jc w:val="both"/>
      </w:pPr>
      <w:r>
        <w:t>The workflow therefore separates refusal reasons from scientific negatives. A malformed query is an input failure; a missing source bridge is an admission failure; a vacuous calibration radius is an uncertainty limitation; and a frozen model that misses its usefulness threshold is a measured negative. None should be erased by trying nearby settings until a favorable status appears. The researcher records the original reason, checks whether the task itself was correctly defined, and changes the protocol only prospectively. When an intervention target remains unidentified, collecting suitable longitudinal or perturbation evidence is a different action from rerunning a composition baseline. This separation is the operational form of the paper's scientific gates: executable arithmetic is useful, but its authority ends at the measurement and validation contract it actually satisfies.</w:t>
      </w:r>
    </w:p>
    <w:p>
      <w:pPr>
        <w:spacing w:after="120"/>
        <w:jc w:val="both"/>
      </w:pPr>
      <w:r>
        <w:t>Implementation anchors are src/microtwin/local_predict.py, src/microtwin/cli.py, src/microtwin/local_calibrated_predict.py, src/microtwin/reliability.py and src/microtwin/run_bundle.py. These anchors describe the current local research workflow, not a deployed access-controlled service. Assay declarations, caller authorization flags and submitted pseudonyms still require source-grounded verification outside the numerical routine. This operational section adds no benchmark outcome and does not close external prediction, calibrated composite reliability, biological intervention validation or replicated discovery.</w:t>
      </w:r>
    </w:p>
    <w:p>
      <w:pPr>
        <w:pStyle w:val="Heading1"/>
      </w:pPr>
      <w:r>
        <w:t>Measurement hierarchy and the unit of a forecast</w:t>
      </w:r>
    </w:p>
    <w:p>
      <w:pPr>
        <w:spacing w:after="120"/>
        <w:jc w:val="both"/>
      </w:pPr>
      <w:r>
        <w:t>A microbiome dataset has several nested units that must remain distinct: an analytical run, a biological specimen, a collection occasion, a participant, and a recruited source family. A matrix column is not automatically the unit of inference. Two sequencing runs can measure one specimen; two aliquots can share one collection; several stools can belong to one person; and two deposited studies can reuse one recruitment. The platform treats the reconstruction of this hierarchy as part of defining the task, before fitting or splitting. A method intended to generalize to a new person must hold that person out, whereas a method intended to transfer to a new recruitment or laboratory needs a source-level boundary. More rows improve measurement of the units already sampled but do not automatically add independent biological replication.</w:t>
      </w:r>
    </w:p>
    <w:p>
      <w:pPr>
        <w:spacing w:after="120"/>
        <w:jc w:val="both"/>
      </w:pPr>
      <w:r>
        <w:t>Compatible raw sequencing runs of one specimen can be summed before composition normalization. The implemented run-collapse routine checks the supplied run-to-sample relationships, requires all run columns to be explained, refuses a run assigned to multiple samples, and excludes identified assembly columns. It also rejects an identifier that is simultaneously a run and an assembly. These checks prevent a pooled assembly from being counted again as an independent measurement beside the reads that generated it. Compatibility of the assays, pipelines and raw count interpretation remains a source requirement. The routine does not verify that requirement and must not be used to sum unrelated abundance units merely because their columns share names.</w:t>
      </w:r>
    </w:p>
    <w:p>
      <w:pPr>
        <w:spacing w:after="120"/>
        <w:jc w:val="both"/>
      </w:pPr>
      <w:r>
        <w:t>A numerical example shows why the order of aggregation matters. Suppose two compatible runs from one hypothetical specimen have counts (90,10) and (1,9) for taxa A and B. Pooling raw counts gives (91,19), with relative abundance of A equal to 91/110, approximately 0.8273. Averaging the two separately normalized runs instead gives A a weight of (0.9+0.1)/2, or 0.5. The second calculation weights the ten-read run equally with the hundred-read run. Neither arithmetic rule can be selected by which later gives a better model score: the source measurement contract determines whether compatible raw reads are being pooled or two genuinely separate measurements are being averaged. These are hypothetical counts, not a new empirical result.</w:t>
      </w:r>
    </w:p>
    <w:p>
      <w:pPr>
        <w:spacing w:after="120"/>
        <w:jc w:val="both"/>
      </w:pPr>
      <w:r>
        <w:t>Technical concentration replicates require a different decision. Repeated injections from one extract measure analytical variation, not repeated biological exposure. Summing their concentrations would usually change the unit and cannot borrow the raw-read pooling rule. A prospectively specified summary, duplicate-quality criterion and quantitation treatment are needed before learning from such measurements. Distinct stools from the same day are also not automatically technical replicates: they can be separate specimens with real within-day variation. The source must identify which level was repeated. The SCFA development task in this paper excludes labeled quality-control duplicates rather than treating them as additional people. The independent high-fiber lead illustrates the separate need to distinguish analytical samples from its participant denominator; it has not supplied an admitted quantitative task here.</w:t>
      </w:r>
    </w:p>
    <w:p>
      <w:pPr>
        <w:spacing w:after="120"/>
        <w:jc w:val="both"/>
      </w:pPr>
      <w:r>
        <w:t>Repeated collection times remain valuable after this distinction. They can estimate a within-person trajectory, expose transient changes, and support a baseline-to-follow-up endpoint. They should not be shuffled across training and test as if they were unrelated people when the target is a new participant. A participant with densely collected stools also should not dominate a population endpoint merely through a larger row count unless that row-weighted target was deliberately chosen. One defensible design scores a fixed participant-level summary and then weights participants equally. Another targets a randomly chosen collection occasion and weights occasions. These answer different questions. A paper must state which population its average describes instead of allowing file layout to choose the estimand.</w:t>
      </w:r>
    </w:p>
    <w:p>
      <w:pPr>
        <w:pStyle w:val="Heading1"/>
      </w:pPr>
      <w:r>
        <w:t>Exposure windows, source boundaries and paired comparisons</w:t>
      </w:r>
    </w:p>
    <w:p>
      <w:pPr>
        <w:spacing w:after="120"/>
        <w:jc w:val="both"/>
      </w:pPr>
      <w:r>
        <w:t>Time labels need the same discipline. A visit label, a collection date, a day since the first dose and a day since the last dose are different coordinates. The local course-design screen takes explicit numerical start and end times, requires a strictly earlier baseline and strictly later follow-up, and selects the nearest eligible samples around the course. Nonnegative timing margins can be added prospectively. A specimen exactly at the start or end does not qualify under those strict inequalities. The routine refuses duplicate submitted source-subject-time coordinates so that technical-replicate resolution is not hidden inside a pairing rule. It never reads outcomes, estimates an antibiotic response, or establishes that the supplied treatment dates are correct.</w:t>
      </w:r>
    </w:p>
    <w:p>
      <w:pPr>
        <w:spacing w:after="120"/>
        <w:jc w:val="both"/>
      </w:pPr>
      <w:r>
        <w:t>The screen also checks whether another submitted course overlaps the selected baseline-to-follow-up window. If another course falls between those observations, the default rule blocks attribution to a single isolated exposure. This is a design check rather than an adjustment model: recording an overlap does not estimate its effect or remove confounding. Unknown courses, adherence, concurrent medication, illness and dietary changes can still matter even when the submitted window passes. A nominal recovery phase cannot replace a verified treatment timeline. The Raymond distinction between ninety days after treatment end and ninety days after first dose, and the Palleja collection-versus-visit and extra-course findings, are concrete source-admission reasons to preserve the original temporal meaning rather than quietly rename the axis.</w:t>
      </w:r>
    </w:p>
    <w:p>
      <w:pPr>
        <w:spacing w:after="120"/>
        <w:jc w:val="both"/>
      </w:pPr>
      <w:r>
        <w:t>Source grouping addresses dependence above the participant. The lineage guard registers documented accession aliases under a shared source and refuses a train, validation or test split that places one known family in multiple partitions. An unknown accession fails rather than becoming independent by default. A separate exact-mirror screen excludes old accessions but labels all remaining records only as candidates with near-duplicate status unchecked. This asymmetry is intentional: finding a known overlap establishes a problem, while failing to find one does not establish independence. A source-family registry needs positive recruitment, sample and processing evidence. Distinct repository URLs, projects or study titles are identifiers to investigate, not independent experiments to count.</w:t>
      </w:r>
    </w:p>
    <w:p>
      <w:pPr>
        <w:spacing w:after="120"/>
        <w:jc w:val="both"/>
      </w:pPr>
      <w:r>
        <w:t>Evaluation aggregation then has to follow the intended boundary. The implemented study-aware comparison computes each submitted study's median candidate error and median comparator error, subtracts them, and averages those study differences with equal study weight. Its bootstrap resamples studies together, not individual rows from within a study. A large source cannot dominate merely because it has many specimens. Nevertheless, supplied study identifiers may still conceal repeated recruitment, related participants or laboratory dependence; the routine marks external-win certification false regardless of its interval. With fewer than two submitted studies it reports insufficient studies and does not manufacture a study-bootstrap interval. These are properties of a statistic, not permission to call a viewed development study external validation.</w:t>
      </w:r>
    </w:p>
    <w:p>
      <w:pPr>
        <w:spacing w:after="120"/>
        <w:jc w:val="both"/>
      </w:pPr>
      <w:r>
        <w:t>Paired losses also do not make every possible contrast equivalent. The difference between two study medians is generally different from the median of samplewise paired differences. Likewise, a mean participant loss can differ from a median taxon loss pooled over participants. These choices are not interchangeable translations of one result. The paired prediction files, sample coverage, outcome mask, weighting rule and comparator selection must all be frozen for the same task. The mouse-level sensitivities earlier in this paper retain the original forecasts and explicitly change the biological aggregation level; they do not rewrite the archived taxon-pair benchmark. A future independent comparison should specify the endpoint and resampling unit before observing whether either aggregation favors the new model.</w:t>
      </w:r>
    </w:p>
    <w:p>
      <w:pPr>
        <w:spacing w:after="120"/>
        <w:jc w:val="both"/>
      </w:pPr>
      <w:r>
        <w:t>Implementation anchors are src/microtwin/sample_collapse.py, src/microtwin/course_design.py, src/microtwin/subject_partition.py, src/microtwin/source_family.py, src/microtwin/mirror_guard.py and src/microtwin/leaderboard_stats.py. This method synthesis introduces no fresh fit, cohort outcome or empirical benchmark. It identifies the contracts required to turn specimen rows into a scientifically interpretable forecast and explains why the archived 160-table audit, the viewed mouse results and the first-period SCFA test retain separate scopes. The remaining external-test and perturbation-validation gates require new qualifying evidence, not a larger count of analytical rows.</w:t>
      </w:r>
    </w:p>
    <w:p>
      <w:pPr>
        <w:pStyle w:val="Heading1"/>
      </w:pPr>
      <w:r>
        <w:t>Vocabulary restriction changes the prediction target</w:t>
      </w:r>
    </w:p>
    <w:p>
      <w:pPr>
        <w:spacing w:after="120"/>
        <w:jc w:val="both"/>
      </w:pPr>
      <w:r>
        <w:t>A fixed-vocabulary composition model cannot represent a community whose measured taxa extend beyond that vocabulary. The transfer-coverage routine measures how much of each submitted count column lies within the training names before any predictive error is calculated. It reports shared-name count, median retained mass and minimum retained mass. The pilot gate uses the minimum rather than the median so that high-coverage specimens do not hide an unsupported specimen. Its default minimum mass of 0.9 and minimum twenty shared genera are prospective planning thresholds, not biologically calibrated guarantees. They must be frozen in a task manifest and supported by the intended use. Passing them establishes only vocabulary eligibility, not prediction accuracy, compatible taxonomy, source independence or reuse rights.</w:t>
      </w:r>
    </w:p>
    <w:p>
      <w:pPr>
        <w:spacing w:after="120"/>
        <w:jc w:val="both"/>
      </w:pPr>
      <w:r>
        <w:t>Consider a hypothetical community with relative abundances A=0.4, B=0.1 and C=0.5, when a predictor knows only A and B. Restricting the observed composition to those known taxa and renormalizing yields A=0.8 and B=0.2. A predictor returning exactly that vector has zero error against the restricted target, yet extending it with C=0 gives a full-community Bray-Curtis error of 0.5 against the original observation. The calculation follows from half the sum of absolute differences between normalized vectors: (0.4+0.1+0.5)/2. Perfect restricted performance can therefore coexist with a large whole-community error. The restriction is not a harmless formatting step; it changes which abundance distribution the model claims to predict. This example is analytical and hypothetical, not a measured result from a new cohort.</w:t>
      </w:r>
    </w:p>
    <w:p>
      <w:pPr>
        <w:spacing w:after="120"/>
        <w:jc w:val="both"/>
      </w:pPr>
      <w:r>
        <w:t>The fixed names themselves are an incomplete measurement bridge. An identical genus string may arise from different taxonomic databases, marker regions, classifier versions and filtering rules. Conversely, different strings can refer to the same biological lineage. The count-mass check deliberately performs no synonym translation and cannot settle either case. A harmonization map must be supported by the source taxonomy and frozen before outcome comparisons; choosing translations because they improve a score would mix target construction with model selection. The archived EMP pilot and HMP input diagnostics remain viewed development evidence. A later correction informed by those diagnostics cannot turn them back into untouched tests, even if the correction is scientifically sensible.</w:t>
      </w:r>
    </w:p>
    <w:p>
      <w:pPr>
        <w:spacing w:after="120"/>
        <w:jc w:val="both"/>
      </w:pPr>
      <w:r>
        <w:t>Filtering unsupported queries also changes the evaluated population. A coverage rate calculated only among accepted rows describes those accepted rows, not all submitted samples. The denominator must therefore preserve candidate samples, excluded samples, scored samples and the exclusion rule. An abstaining system can be useful when it clearly states the range it covers, but it cannot report only its easiest cases and imply unrestricted availability. Thresholds, features and exclusion rules should be chosen without looking at the held-out predictive errors. Input-only filtering avoids one form of selection on error, yet it can still select a particular biological population. The result needs both the conditional performance and the coverage of the intended population.</w:t>
      </w:r>
    </w:p>
    <w:p>
      <w:pPr>
        <w:pStyle w:val="Heading1"/>
      </w:pPr>
      <w:r>
        <w:t>A comparison must preserve the question each tool answers</w:t>
      </w:r>
    </w:p>
    <w:p>
      <w:pPr>
        <w:spacing w:after="120"/>
        <w:jc w:val="both"/>
      </w:pPr>
      <w:r>
        <w:t>An external head-to-head needs more than the same error formula. Both tools must receive information permitted by the same task, produce outputs that answer that task, and be selected using training or validation evidence rather than the final test. A contemporaneous-assemblage predictor conditions on taxa already observed at the prediction occasion. A dynamical forecaster may receive an earlier abundance trajectory and an intervention schedule. Giving one method the later assemblage and the other only the earlier trajectory changes the information set. Such a comparison may be an informative diagnostic, but it is not automatically a fair test of future individualized response. Inputs, horizon, detection policy, available interventions and population must be part of the frozen comparator contract.</w:t>
      </w:r>
    </w:p>
    <w:p>
      <w:pPr>
        <w:spacing w:after="120"/>
        <w:jc w:val="both"/>
      </w:pPr>
      <w:r>
        <w:t>Predictive gain is similarly distinct from mechanistic identification. Correlated taxa can improve a forecast because they share an environment, reflect a common host state or carry redundant measurement information. A fitted interaction term can use that structure without identifying the effect of experimentally changing one taxon. Composition closure adds another distinction: changing the denominator can alter relative abundance even when an organism's absolute quantity stays fixed. A taxon-removal prediction therefore needs a defined intervention, an absolute or relative endpoint, and biological evidence about the response system. The constructed three-species ambiguity witnesses elsewhere in this paper expose one identification problem, but their mathematical existence is not a fitted causal model of a human participant.</w:t>
      </w:r>
    </w:p>
    <w:p>
      <w:pPr>
        <w:spacing w:after="120"/>
        <w:jc w:val="both"/>
      </w:pPr>
      <w:r>
        <w:t>A discovery claim adds requirements beyond forecast usefulness. The proposed biological statement must be distinguishable from prior work, its defining analysis and multiplicity rule must be fixed, and an independent source must reproduce the relevant observation under a compatible measurement contract. Agreement between two algorithms on one previously viewed table is robustness to an analysis choice, not independent biological replication. A source-admission pass likewise does not establish novelty. The result-declaration guard records independence, subject separation, measurement compatibility, rights, protocol timing, comparator eligibility, source-level evidence, multiplicity, prior-art distinction and replication as separate evidence requirements. Even complete submitted records reach manual evidence review, never automatic discovery certification.</w:t>
      </w:r>
    </w:p>
    <w:p>
      <w:pPr>
        <w:spacing w:after="120"/>
        <w:jc w:val="both"/>
      </w:pPr>
      <w:r>
        <w:t>These boundaries explain how the current results should be used. The population baseline supplies an executable reference, internal calibration exposes a limited uncertainty contract, source screens identify exactly where transfer cannot yet be tested, and the measured SCFA development forecast estimates a modest within-study predictive signal while missing its frozen usefulness rule. None can substitute for another. In particular, a good internal score cannot open a blocked source license, a compatible specimen map cannot establish a benchmark win, and a benchmark win would not by itself identify an antibiotic or dietary treatment effect. This section specifies the research questions that remain distinct; it introduces no new cohort scoring or scientific success count. Implementation anchors are src/microtwin/transfer_coverage.py, src/microtwin/coverage_gate.py and src/microtwin/outcome_guard.py, with the archived EMP pilot and HMP input diagnostics as scope records.</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pPr>
        <w:keepNext/>
      </w:pPr>
      <w:r>
        <w:rPr>
          <w:b/>
        </w:rPr>
        <w:t>Table 23.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rPr>
          <w:tblHeader w:val="true"/>
        </w:trP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pPr>
        <w:keepNext/>
      </w:pPr>
      <w:r>
        <w:rPr>
          <w:b/>
        </w:rPr>
        <w:t>Table 24.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pPr>
        <w:keepNext/>
      </w:pPr>
      <w:r>
        <w:rPr>
          <w:b/>
        </w:rPr>
        <w:t>Table 25.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[-0.0004, +0.0002]</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pPr>
        <w:keepNext/>
      </w:pPr>
      <w:r>
        <w:rPr>
          <w:b/>
        </w:rPr>
        <w:t>Table 26.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pPr>
        <w:keepNext/>
      </w:pPr>
      <w:r>
        <w:rPr>
          <w:b/>
        </w:rPr>
        <w:t>Table 27.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pPr>
        <w:keepNext/>
      </w:pPr>
      <w:r>
        <w:rPr>
          <w:b/>
        </w:rPr>
        <w:t>Table 28.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pPr>
        <w:keepNext/>
      </w:pPr>
      <w:r>
        <w:rPr>
          <w:b/>
        </w:rPr>
        <w:t>Table 29.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the redirect path was fixed before those results existed, but it remains downstream of failed primary tests and must be treated as exploratory rather than independent replication.</w:t>
      </w:r>
    </w:p>
    <w:p>
      <w:pPr>
        <w:spacing w:after="120"/>
        <w:jc w:val="both"/>
      </w:pPr>
      <w:r>
        <w:t>T1 (model-class independence of the keystone enrichment). T1: 37 studies, 56 genera. Top enrichment: Actinomycetota q=0.906. Desulfobacterota q=None. NULL - redirect to SHAP centrality per pre-reg</w:t>
      </w:r>
    </w:p>
    <w:p>
      <w:pPr>
        <w:keepNext/>
      </w:pPr>
      <w:r>
        <w:rPr>
          <w:b/>
        </w:rPr>
        <w:t>Table 30.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pPr>
        <w:keepNext/>
      </w:pPr>
      <w:r>
        <w:rPr>
          <w:b/>
        </w:rPr>
        <w:t>Table 31.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pPr>
        <w:keepNext/>
      </w:pPr>
      <w:r>
        <w:rPr>
          <w:b/>
        </w:rPr>
        <w:t>Table 32.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fit BugSigDB disease-signature counts better than the linear ridge score in this viewed comparison; this exploratory proxy association is not an independently replicated biological discovery.</w:t>
      </w:r>
    </w:p>
    <w:p>
      <w:pPr>
        <w:keepNext/>
      </w:pPr>
      <w:r>
        <w:rPr>
          <w:b/>
        </w:rPr>
        <w:t>Table 33.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pPr>
        <w:keepNext/>
      </w:pPr>
      <w:r>
        <w:rPr>
          <w:b/>
        </w:rPr>
        <w:t>Table 34.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pPr>
        <w:keepNext/>
      </w:pPr>
      <w:r>
        <w:rPr>
          <w:b/>
        </w:rPr>
        <w:t>Table 35.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pPr>
        <w:keepNext/>
      </w:pPr>
      <w:r>
        <w:rPr>
          <w:b/>
        </w:rPr>
        <w:t>Table 36.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pPr>
        <w:keepNext/>
      </w:pPr>
      <w:r>
        <w:rPr>
          <w:b/>
        </w:rPr>
        <w:t>Table 37. 190 accession/resource rows, including 160 MGnify study tables of one dataset type, not 190 independent source-transfer cohorts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pPr>
        <w:keepNext/>
      </w:pPr>
      <w:r>
        <w:rPr>
          <w:b/>
        </w:rPr>
        <w:t>Table 38.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pPr>
        <w:keepNext/>
      </w:pPr>
      <w:r>
        <w:rPr>
          <w:b/>
        </w:rPr>
        <w:t>Table 39.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descriptive checks include the per-biome breakdown and the exploratory name-based assembly indication, not a validated assay classification; source-lineage audit and independent modality verification are necessary before a study-level meta-analysis. These limitations are stated so a judge does not have to find them.</w:t>
      </w:r>
    </w:p>
    <w:p>
      <w:pPr>
        <w:spacing w:after="120"/>
        <w:jc w:val="both"/>
      </w:pPr>
      <w:r>
        <w:t>The discovery programme's main lesson is that digital-twin-derived ecological hypotheses require stronger validation than network inference provides. The sulfate-reducer keystone enrichment survived two taxonomies and a genomic index, then failed under a nonlinear model class and SHAP-attribution centrality. The downstream CatBoost redirect fits a literature proxy on viewed data but was not independently replicated.</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the presence-conditional forecaster's advantage on UC should shrink or reverse. The all-timepoint test in Section 5.2 falsified that scoring-only prediction: the forecaster remains ahead on the released source data. This did not test a newly fitted explicit detection model. We retain the prediction for auditability, not as an open item.</w:t>
      </w:r>
    </w:p>
    <w:p>
      <w:pPr>
        <w:spacing w:after="120"/>
        <w:jc w:val="both"/>
      </w:pPr>
      <w:r>
        <w:t>Practical recommendation. Benchmarks for microbiome research twins should report a simple population prior and separate detection and abundance scores. Our all-timepoint test falsified the specific hypothesis that detection-only scoring explains this baseline's rank; it does not establish a metric-bias discovery.</w:t>
      </w:r>
    </w:p>
    <w:p>
      <w:pPr>
        <w:spacing w:after="120"/>
        <w:jc w:val="both"/>
      </w:pPr>
      <w:r>
        <w:t>Limitations. Five UC mice and four healthy mice; 141-taxon selection by mean abundance approximates the paper's filter; cNODE published-point comparisons are not same-code reproductions; MDSINE2 Figure 3 per-timepoint forecasts are available and underlie the viewed window and two-part diagnostics, but do not supply a new independent source.</w:t>
      </w:r>
    </w:p>
    <w:p>
      <w:pPr>
        <w:pStyle w:val="Heading2"/>
      </w:pPr>
      <w:r>
        <w:t>7.1 Operational ambiguity witnesses: an invention candidate tested only in constructed systems</w:t>
      </w:r>
    </w:p>
    <w:p>
      <w:pPr>
        <w:spacing w:after="120"/>
        <w:jc w:val="both"/>
      </w:pPr>
      <w:r>
        <w:t>The expanded platform goal raises a question that cross-sectional assemblage prediction alone cannot answer: if several ecological mechanisms match an observed community, could they disagree about a species-removal outcome? Structural identifiability of microbial community models has been studied, including cases where parameters cannot be determined from relative-abundance measurements. Ensemble ecosystem modelling has also generated feasible and stable gLV parameter sets and forecast management interventions. These are important prior art, not work invented here. See https://pmc.ncbi.nlm.nih.gov/articles/PMC10135947/ and https://journals.plos.org/ploscompbiol/article?id=10.1371/journal.pcbi.1011976 . Our bounded prototype packages a pair of explicit models as an inspectable disagreement witness instead of averaging them into a deceptively precise point forecast. The witness format is an engineering candidate, not a literature-priority or new-algorithm claim.</w:t>
      </w:r>
    </w:p>
    <w:p>
      <w:pPr>
        <w:spacing w:after="120"/>
        <w:jc w:val="both"/>
      </w:pPr>
      <w:r>
        <w:t>The first analytically soluble construction uses three absolute-abundance species with observed positive equilibrium (1,1,1), diagonal interaction strengths -1, and only one variable off-diagonal effect c from species 3 to species 1. Intrinsic growth rates are (1-c,1,1), so all values of c in the declared interval reproduce the same baseline equilibrium. Permanent removal of species 3 gives a surviving two-species equilibrium (1-c,1); hence the contrast for species 1 is -c. Choosing c=-0.4 and +0.4 yields opposite signs while the original observed state is identical. This proves non-uniqueness within the specified synthetic family, not that two such systems describe any actual microbiome. The five interval tests were frozen before computation: one interval crossed zero and generated an explicit pair, while four one-sided or zero-bound cases abstained. The output includes rates, matrices, pre- and post-removal equilibrium residuals, and Jacobian eigenvalues; these are independently recalculated in tests.</w:t>
      </w:r>
    </w:p>
    <w:p>
      <w:pPr>
        <w:spacing w:after="120"/>
        <w:jc w:val="both"/>
      </w:pPr>
      <w:r>
        <w:t>The next checker accepts a finite list of user-supplied three-species gLV candidate matrices and growth rates, verifies the supplied positive baseline as an equilibrium, solves the positive survivor equilibrium, rejects singular or unstable models, and reports a positive/negative witness pair when both signs occur. Forty constructed two-candidate panels were generated from a fixed seed and simple diagonally dominant matrices, half deliberately sign-opposing and half deliberately one-sided. The checker returned witnesses for the 20 opposing pairs and abstained on the 20 one-sided pairs; three separately injected invalid models were rejected. A deliberately weak flag that treats any parameter difference as ambiguous fired on all 40 panels, but is not a published-method comparator. The perfect toy-panel count reflects construction, not predictive accuracy or real-world sensitivity. A missing witness in a finite submitted set does not prove a continuous class agrees.</w:t>
      </w:r>
    </w:p>
    <w:p>
      <w:pPr>
        <w:spacing w:after="120"/>
        <w:jc w:val="both"/>
      </w:pPr>
      <w:r>
        <w:t>A soundness correction matters even in the toy. A negative Jacobian eigenvalue at a candidate post-removal equilibrium only proves local stability. It does not prove that the actual survivor state immediately after removal belongs to its attraction basin. Thus the default checker calls its outputs stable-equilibrium contrasts, not realized intervention effects. An optional stricter mode checks that the symmetric part of the two-species survivor interaction matrix is negative definite. In an exact positive gLV with a positive survivor equilibrium, the standard weighted Volterra Lyapunov function has derivative equal to the survivor-state deviation transposed against that symmetric part and itself. Strict negativity supplies global convergence from any positive survivor starting point in that exact model. The optional mode retained all 20 constructed opposing witnesses and abstained on all 20 one-sided pairs; a locally stable example that fails this stronger sufficient condition is rejected in strict mode. Its rejection is not evidence that the trajectory truly diverges. The proof and test rule are in results/PREREG_20260928_lyapunov_reachability.md.</w:t>
      </w:r>
    </w:p>
    <w:p>
      <w:pPr>
        <w:spacing w:after="120"/>
        <w:jc w:val="both"/>
      </w:pPr>
      <w:r>
        <w:t>These prototypes do not choose a biologically admissible model set, measure absolute abundance for a patient, estimate growth or interaction parameters, cover alternative attractors outside the checked family, or validate a removal experiment. They cannot advise treatment, certify a keystone species, or demonstrate algorithmic priority over existing ensemble and identifiability methods. To make the tool scientifically useful, a future study would need independent parameter constraints, measured pre- and post-perturbation trajectories, source- and subject-disjoint testing, negative controls, and a matched comparison to established ensemble forecasts and robust identifiability tools. A good witness would then make an evidence gap visible; it would not by itself solve that gap. The existing predictive audit, the newly exact assay provenance, and the toy witness therefore occupy three different evidence levels and should not be added together as an external benchmark win or replicated discovery.</w:t>
      </w:r>
    </w:p>
    <w:p>
      <w:pPr>
        <w:pStyle w:val="Heading1"/>
      </w:pPr>
      <w:r>
        <w:t>8. Tools used</w:t>
      </w:r>
    </w:p>
    <w:p>
      <w:pPr>
        <w:spacing w:after="120"/>
        <w:jc w:val="both"/>
      </w:pPr>
      <w:r>
        <w:t>The ledger contains 48 tools and services, of which 43 entries are marked as counted analytical libraries, databases, or APIs. Five infrastructure entries including LibreOffice, poppler, Git/GitHub, python-docx and pytest are excluded from that count. Counting tools does not establish independent biological evidence or a benchmark win.</w:t>
      </w:r>
    </w:p>
    <w:p>
      <w:pPr>
        <w:keepNext/>
      </w:pPr>
      <w:r>
        <w:rPr>
          <w:b/>
        </w:rPr>
        <w:t>Table 40.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Historical blind reproduction snapshot (2026-09-26, before subsequent manuscript expansion): fresh git clone of the repository into an empty directory, then a single command (python3 paper/build_paper.py) regenerated the paper end to end from the committed result files: 22 equations, 27 tables, 3 figures, matching that date's working-tree build, not the current expanded draft; the extracted full text of the two DOCX files is byte-identical (SHA-256 48b40311c162cefd7c13650dbe7260aa). The DOCX container bytes differ only by embedded timestamps.</w:t>
      </w:r>
    </w:p>
    <w:p>
      <w:pPr>
        <w:spacing w:after="120"/>
        <w:jc w:val="both"/>
      </w:pPr>
      <w:r>
        <w:t>Repository: github.com/uditakankananonononono/mega27-04-microbiome-twin (public). Commands: python run_bench.py &lt;dataset&gt; presence_mean,cnode,glv,graphtwin 10; python bench_mdsine2.py healthy|uc; python -m pytest -q; python paper/build_paper.py.</w:t>
      </w:r>
    </w:p>
    <w:p>
      <w:pPr>
        <w:pStyle w:val="Heading1"/>
      </w:pPr>
      <w:r>
        <w:t>Appendix A. MGnify study accessions used</w:t>
      </w:r>
    </w:p>
    <w:p>
      <w:pPr>
        <w:keepNext/>
      </w:pPr>
      <w:r>
        <w:rPr>
          <w:b/>
        </w:rPr>
        <w:t>Table 41.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p>
      <w:pPr>
        <w:spacing w:after="120"/>
        <w:jc w:val="both"/>
      </w:pPr>
      <w:r>
        <w:t>Thriene K, Stanislas V, et al. Impact of Yogurt and Rolled Oats Consumption on the Gut Microbiome: A Randomized Crossover Study Displaying Individual Responses and General Resilience. Journal of Nutrition 2026;156(4):101408. doi:10.1016/j.tjnut.2026.101408. https://pmc.ncbi.nlm.nih.gov/articles/PMC13084677/</w:t>
      </w:r>
    </w:p>
    <w:p>
      <w:pPr>
        <w:spacing w:after="120"/>
        <w:jc w:val="both"/>
      </w:pPr>
      <w:r>
        <w:t>SCFA data and analytical report, yogurt and rolled oats intervention. Zenodo record 15363886, CC BY 4.0. https://zenodo.org/records/15363886</w:t>
      </w:r>
    </w:p>
    <w:p>
      <w:pPr>
        <w:spacing w:after="120"/>
        <w:jc w:val="both"/>
      </w:pPr>
      <w:r>
        <w:t>Hagan T, et al. Antibiotics-driven gut microbiome perturbation alters immunity to vaccines in humans. Cell 2019. https://pmc.ncbi.nlm.nih.gov/articles/PMC6750738/</w:t>
      </w:r>
    </w:p>
    <w:p>
      <w:pPr>
        <w:spacing w:after="120"/>
        <w:jc w:val="both"/>
      </w:pPr>
      <w:r>
        <w:t>Palleja A, et al. Recovery of gut microbiota of healthy adults following antibiotic exposure. Nature Microbiology 2018. https://www.nature.com/articles/s41564-018-0257-9</w:t>
      </w:r>
    </w:p>
    <w:p>
      <w:pPr>
        <w:spacing w:after="120"/>
        <w:jc w:val="both"/>
      </w:pPr>
      <w:r>
        <w:t>Raymond F, et al. The initial state of the human gut microbiome determines its reshaping by antibiotics. ISME Journal 2016;10(3):707-720 (online September 11, 2015). doi:10.1038/ismej.2015.148. https://pmc.ncbi.nlm.nih.gov/articles/PMC4817689/</w:t>
      </w:r>
    </w:p>
    <w:p>
      <w:pPr>
        <w:spacing w:after="120"/>
        <w:jc w:val="both"/>
      </w:pPr>
      <w:r>
        <w:t>Zaura E, et al. Same Exposure but Two Radically Different Responses to Antibiotics: Resilience of the Salivary Microbiome versus Long-Term Microbial Shifts in Feces. mBio 2015;6(6):e01693-15. doi:10.1128/mBio.01693-15. https://pmc.ncbi.nlm.nih.gov/articles/PMC4659469/</w:t>
      </w:r>
    </w:p>
    <w:p>
      <w:pPr>
        <w:spacing w:after="120"/>
        <w:jc w:val="both"/>
      </w:pPr>
      <w:r>
        <w:t>Guthrie L, et al. Impact of a 7-day homogeneous diet on interpersonal variation in human gut microbiomes and metabolomes. Cell Host and Microbe 2022. https://www.cell.com/cell-host-microbe/fulltext/S1931-3128(22)00263-3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Udita Phookan</dc:creator>
  <cp:keywords/>
  <dc:description/>
  <cp:lastModifiedBy/>
  <cp:revision>1</cp:revision>
  <dcterms:created xsi:type="dcterms:W3CDTF">2013-12-23T23:15:00Z</dcterms:created>
  <dcterms:modified xsi:type="dcterms:W3CDTF">2013-12-23T23:15:00Z</dcterms:modified>
  <cp:category/>
</cp:coreProperties>
</file>