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after per-study FDR correction;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after per-study FDR correction;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5.4) should be read narrowly: on these two cNODE tables a mean-composition null matched published cNODE, but across 160 amplicon and assembly studies interaction structure usually does carry predictive information.</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2"/>
      </w:pPr>
      <w:r>
        <w:t>5.2 MDSINE2 benchmark: UC beat, healthy tie</w:t>
      </w:r>
    </w:p>
    <w:p>
      <w:pPr>
        <w:keepNext/>
      </w:pPr>
      <w:r>
        <w:rPr>
          <w:b/>
        </w:rPr>
        <w:t>Table 5.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6.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7.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8.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9.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10.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11.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2"/>
      </w:pPr>
      <w:r>
        <w:t>5.4 cNODE benchmark: interactions help outside humans, not detectably on human data</w:t>
      </w:r>
    </w:p>
    <w:p>
      <w:pPr>
        <w:keepNext/>
      </w:pPr>
      <w:r>
        <w:rPr>
          <w:b/>
        </w:rPr>
        <w:t>Table 12.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13.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14.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15.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16.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17.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18.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19.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20.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21.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22.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23.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24.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25.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26.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27.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28.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29.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30.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within-project controls are the per-biome breakdown and the assembly-artefact catch, and a random-effects meta-analysis across studies is the natural strengthening. Both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5.2 falsified that prediction: the forecaster remains ahead on the released source data.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31.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32.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