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We test whether microbiome digital twins learn species interactions or mainly exploit ecological priors. 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presence-only null with no learned interaction parameters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 In absolute terms the UC gain is a 37% reduction in median RMSE against full MDSINE2 (1.093 to 0.692); the healthy-cohort differences are small in effect size whichever direction they go.</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(7) A pre-registered twin-driven replication programme (GraphTwin gate out-strength trained per MGnify study; locked 09:30 completion-order stopping rule, 37 studies) found that the sulfate-reducer keystone enrichment does NOT replicate under the nonlinear gate scorer (Desulfobacterota untestable at this coverage; best phylum q = 0.906), and the locked SHAP-attribution-centrality redirect does not recover it either (q = 0.462). As a disease-literature predictor the twin gates do not beat the ridge score (AIC 767.1 vs 766.1), but the locked CatBoost+SHAP redirect does, decisively (coefficient +37.1, p = 2.6e-35, AIC 2343.9 vs 2443.1). What survives replication is therefore not a keystone list but a predictor: gradient-boosted interaction attributions forecast BugSigDB disease-signature counts far better than linear interaction scores.</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stated once: the primary contribution is the digital-twin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7.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8.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r>
        <w:rPr>
          <w:b/>
        </w:rPr>
        <w:t>Table 9.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10.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11.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12.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13.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14.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15.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so the CatBoost+SHAP outcome below cannot be post hoc fishing: the path to it was fixed before the results existed.</w:t>
      </w:r>
    </w:p>
    <w:p>
      <w:pPr>
        <w:spacing w:after="120"/>
        <w:jc w:val="both"/>
      </w:pPr>
      <w:r>
        <w:t>T1 (model-class independence of the keystone enrichment). T1: 37 studies, 56 genera. Top enrichment: Actinomycetota q=0.906. Desulfobacterota q=None. NULL - redirect to SHAP centrality per pre-reg</w:t>
      </w:r>
    </w:p>
    <w:p>
      <w:r>
        <w:rPr>
          <w:b/>
        </w:rPr>
        <w:t>Table 16.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17.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18.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predict disease-signature counts far better than the linear ridge score; this is the discovery that survives the replication programme.</w:t>
      </w:r>
    </w:p>
    <w:p>
      <w:r>
        <w:rPr>
          <w:b/>
        </w:rPr>
        <w:t>Table 19.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20.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21.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22.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23. 190 accession-level datasets used inside this project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24.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25.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output is itself a result: digital-twin-derived ecological hypotheses require stronger validation than network inference provides. The sulfate-reducer keystone enrichment survived two taxonomies and a genomic index, then failed under a nonlinear model class and under SHAP-attribution centrality; what replicated as a disease-literature predictor was the gradient-boosted attribution ranking, not the keystone list.</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26.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27.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