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Revised draft of 25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a KEGG genomic anaerobe index replicates it (p = 7e-8). No single biome passes FDR and keystones come from inferred networks, but the association fails with graphical lasso and igraph betweenness keystone definitions. It is a ridge-specific candidate, not a cross-method ecological discovery. A distinct HOMD oral-list effect survives those two methods but fails a PubTator literature-index replication.</w:t>
      </w:r>
    </w:p>
    <w:p>
      <w:pPr>
        <w:spacing w:after="120"/>
        <w:jc w:val="both"/>
      </w:pPr>
      <w:r>
        <w:t>(7) A pre-registered twin-driven replication programme (GraphTwin gate out-strength trained per MGnify study; locked 09:30 completion-order stopping rule, 37 studies) found that the sulfate-reducer keystone enrichment does NOT replicate under the nonlinear gate scorer (Desulfobacterota untestable at this coverage; best phylum q = 0.906), and the locked SHAP-attribution-centrality redirect does not recover it either (q = 0.462). As a disease-literature predictor the twin gates do not beat the ridge score (AIC 767.1 vs 766.1), but the locked CatBoost+SHAP redirect does, decisively (coefficient +37.1, p = 2.6e-35, AIC 2343.9 vs 2443.1). What survives replication is therefore not a keystone list but a predictor: gradient-boosted interaction attributions forecast BugSigDB disease-signature counts far better than linear interaction scores.</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2.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2"/>
      </w:pPr>
      <w:r>
        <w:t>5.2 MDSINE2 benchmark: UC beat, healthy tie</w:t>
      </w:r>
    </w:p>
    <w:p>
      <w:r>
        <w:rPr>
          <w:b/>
        </w:rPr>
        <w:t>Table 3.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r>
        <w:rPr>
          <w:b/>
        </w:rPr>
        <w:t>Table 4.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r>
        <w:rPr>
          <w:b/>
        </w:rPr>
        <w:t>Table 5.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r>
        <w:rPr>
          <w:b/>
        </w:rPr>
        <w:t>Table 6.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r>
        <w:rPr>
          <w:b/>
        </w:rPr>
        <w:t>Table 7.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w:t>
      </w:r>
    </w:p>
    <w:p>
      <w:r>
        <w:rPr>
          <w:b/>
        </w:rPr>
        <w:t>Table 8.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r>
        <w:rPr>
          <w:b/>
        </w:rPr>
        <w:t>Table 9.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r>
        <w:rPr>
          <w:b/>
        </w:rPr>
        <w:t>Table 10.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bl>
    <w:p>
      <w:pPr>
        <w:pStyle w:val="Heading2"/>
      </w:pPr>
      <w:r>
        <w:t>5.6 Keystone consensus across studies (exploratory)</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r>
        <w:rPr>
          <w:b/>
        </w:rPr>
        <w:t>Table 11.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12.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13.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r>
        <w:rPr>
          <w:b/>
        </w:rPr>
        <w:t>Table 14.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w:t>
      </w:r>
    </w:p>
    <w:p>
      <w:pPr>
        <w:spacing w:after="120"/>
        <w:jc w:val="both"/>
      </w:pPr>
      <w:r>
        <w:t>T1 (model-class independence of the keystone enrichment). T1: 37 studies, 56 genera. Top enrichment: Actinomycetota q=0.906. Desulfobacterota q=None. NULL - redirect to SHAP centrality per pre-reg</w:t>
      </w:r>
    </w:p>
    <w:p>
      <w:r>
        <w:rPr>
          <w:b/>
        </w:rPr>
        <w:t>Table 15.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r>
        <w:rPr>
          <w:b/>
        </w:rPr>
        <w:t>Table 16.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r>
        <w:rPr>
          <w:b/>
        </w:rPr>
        <w:t>Table 17.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predict disease-signature counts far better than the linear ridge score; this is the discovery that survives the replication programme.</w:t>
      </w:r>
    </w:p>
    <w:p>
      <w:r>
        <w:rPr>
          <w:b/>
        </w:rPr>
        <w:t>Table 18.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r>
        <w:rPr>
          <w:b/>
        </w:rPr>
        <w:t>Table 19.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r>
        <w:rPr>
          <w:b/>
        </w:rPr>
        <w:t>Table 20.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r>
        <w:rPr>
          <w:b/>
        </w:rPr>
        <w:t>Table 21.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r>
        <w:rPr>
          <w:b/>
        </w:rPr>
        <w:t>Table 22. 190 accession-level datasets used inside this project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r>
        <w:rPr>
          <w:b/>
        </w:rPr>
        <w:t>Table 23.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r>
        <w:rPr>
          <w:b/>
        </w:rPr>
        <w:t>Table 24.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counted external tools was reached with a margin; count the ledger entries marked True, not infrastructure. Tools include source databases and analytical libraries actually used in committed scripts. This count does not measure independence of biological evidence.</w:t>
      </w:r>
    </w:p>
    <w:p>
      <w:r>
        <w:rPr>
          <w:b/>
        </w:rPr>
        <w:t>Table 25.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26.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