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required a post-inspection correction: all 400 linked sample descriptions repeat the study-level phrase 'Human gut microbiome differentiation viewed across cultures, ages and families', and the current sample metadata provide no literal 'body site' or 'collection site' key among these records. However, a later audit of structured sample metadata found that all 400 exact-linked records bear 'environment (material): ENVO:feces'; the other 129 current sample records carry the same material value. The prior narrow key scan omitted this field. It supports source-annotated fecal material, whereas the repeated study description alone did not suffice. Neither the submitted annotation nor the description can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six other amended metadata fields pass for this candidate; passing that remaining family check would still require manual validation. No score or BH result was changed. Exact source URLs, response hashes, pipeline-version counts and aggregate sample descriptions: results/gut_candidate_column_identity.json; locked method: results/PREREG_20260927_gut_candidate_column_identity.md. Post-inspection material amendment and live sample-response hashes: results/PREREG_20260927_feces_material_amendment.md and results/gut_material_identity.json.</w:t>
      </w:r>
    </w:p>
    <w:p>
      <w:pPr>
        <w:pStyle w:val="Heading3"/>
      </w:pPr>
      <w:r>
        <w:t>5.1.2e.1 Family and publication identifiers remain unresolved</w:t>
      </w:r>
    </w:p>
    <w:p>
      <w:pPr>
        <w:spacing w:after="120"/>
        <w:jc w:val="both"/>
      </w:pPr>
      <w:r>
        <w:t>A later source-family check read the MGnify study and all current 529 sample records without examining abundance outcomes. The study record identifies PRJEB3079 / ERP001500 and its abstract describes 531 people, including mono- and dizygotic twins. All 529 exposed sample-metadata records carry location, environment, host and depth/elevation keys, but no explicit person, family, household or donor-ID key. The 529 current sample records and the 531 people in the abstract are distinct reported counts without a verified row-level crosswalk. Neither the 400 unique exact-linked sample accessions nor a single BioProject prove 400 unrelated people or independence from a source mirror. The biological-family axis therefore remains unknown rather than false or true, and source admission remains blocked.</w:t>
      </w:r>
    </w:p>
    <w:p>
      <w:pPr>
        <w:spacing w:after="120"/>
        <w:jc w:val="both"/>
      </w:pPr>
      <w:r>
        <w:t>The abstract text matches the 2012 Nature article 'Human gut microbiome viewed across age and geography' (DOI 10.1038/nature11053), which discusses fecal samples, families and twins. Yet MGnify's separate study-publications endpoint links this accession to a different 2021 article (DOI 10.1016/j.csbj.2021.07.009). We record this publication-link conflict rather than infer which archived sequencing runs the 2012 publication includes. Primary specimen mapping, family IDs, run-level library methods, rights and mirror checks remain needed. This finding is metadata-only, not a reassessment of the original BH scores or an untouched external benchmark. Provider response URLs, hashes and aggregate key counts: results/gut_family_evidence.json; the dated diagnostic: results/PREREG_20260927_gut_family_evidence.md. Primary article: https://www.nature.com/articles/nature11053.</w:t>
      </w:r>
    </w:p>
    <w:p>
      <w:pPr>
        <w:pStyle w:val="Heading3"/>
      </w:pPr>
      <w:r>
        <w:t>5.1.2f Exact old-column mapping reveals a site-code contradiction</w:t>
      </w:r>
    </w:p>
    <w:p>
      <w:pPr>
        <w:spacing w:after="120"/>
        <w:jc w:val="both"/>
      </w:pPr>
      <w:r>
        <w:t>MGYS00006794 has a title describing longitudinal stool and oral communities in patients with multiple sclerosis, but the archived biome places it under Human:Digestive system. We fixed an exact source-column site check before reading its original pipeline-5.0 SSU file and current MGnify analyses and samples. The source table has 184 nonzero run columns and 439 collapsed genera; after the original prevalence and top-150 filters, 184 columns and 150 genera reproduce its archived audit dimensions. All 184 old run IDs exact-match one current pipeline-5.0 analysis each, and these point to 184 distinct current sample accessions. This establishes that the site codes examined belong to the actual old table columns rather than to unrelated samples in the study.</w:t>
      </w:r>
    </w:p>
    <w:p>
      <w:pPr>
        <w:spacing w:after="120"/>
        <w:jc w:val="both"/>
      </w:pPr>
      <w:r>
        <w:t>Each linked sample's structured environment-material field is UBERON:0002097, which the EMBL-EBI Ontology Lookup Service labels 'skin of body'. Each linked environment-feature field is ENVO:2100003, labeled 'skin environment'. The source's free-text descriptions distinguish multiple-sclerosis treatment phases and controls, not the specimen site. Its normalized species is Homo sapiens, but no usable explicit host scientific name was supplied in these sample records. Thus there is a direct structured-site-versus-study-text/biome metadata conflict on all 184 archived columns. We do not adjudicate specimen tissue by choosing the structured codes or the title: either the site codes or the higher-level classification may be mistaken, and the original wet-lab record would have to settle which source actually produced the table.</w:t>
      </w:r>
    </w:p>
    <w:p>
      <w:pPr>
        <w:spacing w:after="120"/>
        <w:jc w:val="both"/>
      </w:pPr>
      <w:r>
        <w:t>This finding required a dated amendment of the admission prototype. The prior six-field gate tested host identity but conflated a human host with a human GUT sample. A separate seventh `human_gut_site_compatible` field now blocks unknown or conflicting collection site. MGYS00006794's field is false from the structured-site mismatch; MGYS00002238 is false from exact linked oral sample descriptions. Of the other six, MGYS00005154 is source-metadata compatible after the separately dated feces-material amendment; five remain unknown pending sample-specific site evidence. These are metadata blockers, not a retrospective assay-stratified performance analysis, and all eight viewed records remain blocked. None of the 160 original BH-adjusted calls or old within-study scores changed. The amendment is explicitly dated after this source check, not passed off as a rule frozen before the original audit. Source response and ontology hashes: results/mixed_site_column_identity.json; protocol and site-axis amendment: results/PREREG_20260927_mixed_site_column_identity.md and results/PREREG_20260927_site_gate_amendment.md.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four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5.1.2c-f supply those maps for four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four viewed records are given in Sections 5.1.2c-f;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The original matrix emitted a six-field status vector for each of the eight old title-unflagged digestive records; a seventh site field was added after the mixed-site conflict was found. It separates analysis pagination, uniform analysis type, sample pagination, explicit host compatibility, archive-column mapping, biological-family independence and the newly amended gut-site compatibility. `Unknown` is an intentional output rather than a false value that someone can accidentally average away. The uncompleted eighth source is unknown on every dimension. Four later exact run-to-sample joins have verified old-column maps: MGYS00006755 fails host compatibility; MGYS00002238 is oral saliva/plaque; MGYS00006794 has conflicting structured skin-site codes; and MGYS00005154 has an exact-linked feces material annotation but no independent-family certificate. The other four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M6755 and M6794 have exact old SSU run-column maps. M2238 is oral, M6794 has conflicting skin-site codes, M6755 has a host conflict; all eight lack an independent-family certificate.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w:t>
            </w:r>
          </w:p>
        </w:tc>
        <w:tc>
          <w:tcPr>
            <w:tcW w:type="dxa" w:w="1234"/>
            <w:vAlign w:val="center"/>
          </w:tcPr>
          <w:p>
            <w:pPr>
              <w:jc w:val="left"/>
            </w:pPr>
            <w:r>
              <w:rPr>
                <w:rFonts w:ascii="Times New Roman" w:hAnsi="Times New Roman"/>
                <w:sz w:val="18"/>
              </w:rPr>
              <w:t>analysis type</w:t>
            </w:r>
          </w:p>
        </w:tc>
        <w:tc>
          <w:tcPr>
            <w:tcW w:type="dxa" w:w="1234"/>
            <w:vAlign w:val="center"/>
          </w:tcPr>
          <w:p>
            <w:pPr>
              <w:jc w:val="left"/>
            </w:pPr>
            <w:r>
              <w:rPr>
                <w:rFonts w:ascii="Times New Roman" w:hAnsi="Times New Roman"/>
                <w:sz w:val="18"/>
              </w:rPr>
              <w:t>sample pages</w:t>
            </w:r>
          </w:p>
        </w:tc>
        <w:tc>
          <w:tcPr>
            <w:tcW w:type="dxa" w:w="1234"/>
            <w:vAlign w:val="center"/>
          </w:tcPr>
          <w:p>
            <w:pPr>
              <w:jc w:val="left"/>
            </w:pPr>
            <w:r>
              <w:rPr>
                <w:rFonts w:ascii="Times New Roman" w:hAnsi="Times New Roman"/>
                <w:sz w:val="18"/>
              </w:rPr>
              <w:t>explicit human host</w:t>
            </w:r>
          </w:p>
        </w:tc>
        <w:tc>
          <w:tcPr>
            <w:tcW w:type="dxa" w:w="1234"/>
            <w:vAlign w:val="center"/>
          </w:tcPr>
          <w:p>
            <w:pPr>
              <w:jc w:val="left"/>
            </w:pPr>
            <w:r>
              <w:rPr>
                <w:rFonts w:ascii="Times New Roman" w:hAnsi="Times New Roman"/>
                <w:sz w:val="18"/>
              </w:rPr>
              <w:t>gut site</w:t>
            </w:r>
          </w:p>
        </w:tc>
        <w:tc>
          <w:tcPr>
            <w:tcW w:type="dxa" w:w="1234"/>
            <w:vAlign w:val="center"/>
          </w:tcPr>
          <w:p>
            <w:pPr>
              <w:jc w:val="left"/>
            </w:pPr>
            <w:r>
              <w:rPr>
                <w:rFonts w:ascii="Times New Roman" w:hAnsi="Times New Roman"/>
                <w:sz w:val="18"/>
              </w:rPr>
              <w:t>old column map</w:t>
            </w:r>
          </w:p>
        </w:tc>
        <w:tc>
          <w:tcPr>
            <w:tcW w:type="dxa" w:w="1234"/>
            <w:vAlign w:val="center"/>
          </w:tcPr>
          <w:p>
            <w:pPr>
              <w:jc w:val="left"/>
            </w:pPr>
            <w:r>
              <w:rPr>
                <w:rFonts w:ascii="Times New Roman" w:hAnsi="Times New Roman"/>
                <w:sz w:val="18"/>
              </w:rPr>
              <w:t>source family</w:t>
            </w:r>
          </w:p>
        </w:tc>
      </w:tr>
      <w:tr>
        <w:tc>
          <w:tcPr>
            <w:tcW w:type="dxa" w:w="1234"/>
            <w:vAlign w:val="center"/>
          </w:tcPr>
          <w:p>
            <w:pPr>
              <w:jc w:val="left"/>
            </w:pPr>
            <w:r>
              <w:rPr>
                <w:rFonts w:ascii="Times New Roman" w:hAnsi="Times New Roman"/>
                <w:sz w:val="18"/>
              </w:rPr>
              <w:t>M0633</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M2238</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M5154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M5230</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M6006</w:t>
            </w:r>
          </w:p>
        </w:tc>
        <w:tc>
          <w:tcPr>
            <w:tcW w:type="dxa" w:w="1234"/>
            <w:vAlign w:val="center"/>
          </w:tcPr>
          <w:p>
            <w:pPr>
              <w:jc w:val="left"/>
            </w:pPr>
            <w:r>
              <w:rPr>
                <w:rFonts w:ascii="Times New Roman" w:hAnsi="Times New Roman"/>
                <w:sz w:val="18"/>
              </w:rPr>
              <w:t>assembly</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M6755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repeated gut-oriented description and a later identified structured feces material annotation on all 400 exact-linked samples, though no literal body-site field. MGYS00006794 has a fourth exact map, but its structured codes point to skin in conflict with its title and archive biome; explicit host names are missing. None of these four exact-mapped sources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seven amended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 separate source-annotated gut-compatible collection material, and verified biological-family independence. The seventh site axis was added after the skin-code discrepancy; the original six-field gate lacked it. A blank, false or unknown value blocks the review and names every failed field. A normalized Homo sapiens code cannot substitute for explicit host or site; a title or accession count cannot prove an independent dataset. Even a feces material annotation is source metadata, not an independent tissue assay. These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MGYS00005154 now passes six amended metadata fields, including structured feces material on its exact-linked 400 samples, but remains blocked on unknown biological-family independence.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seven amended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20.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21.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22.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23.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24.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25.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26.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27.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28.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29.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30.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31.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32.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33.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34.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35.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36.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37.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38.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