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Population Priors Rival Interaction Models in Microbiome Digital Twins: a Leave-One-Out Audit of cNODE and a Head-to-Head with MDSINE2</w:t>
      </w:r>
    </w:p>
    <w:p>
      <w:pPr>
        <w:jc w:val="center"/>
      </w:pPr>
      <w:r>
        <w:t>MEGA-PROGRAM-27, Item 4 - Udita Phookan (program owner); computational work by an AI research agent. Revised draft of 25 September 2026.</w:t>
      </w:r>
    </w:p>
    <w:p>
      <w:pPr>
        <w:pStyle w:val="Heading1"/>
      </w:pPr>
      <w:r>
        <w:t>Abstract</w:t>
      </w:r>
    </w:p>
    <w:p>
      <w:pPr>
        <w:spacing w:after="120"/>
        <w:jc w:val="both"/>
      </w:pPr>
      <w:r>
        <w:t>A microbiome digital twin is a model that, given what we know about a community, predicts what it will look like: its steady-state composition after assembly, or its trajectory under perturbation. Two published approaches are compositional neural ODEs (cNODE; Michel-Mata et al., 2022) for assemblage-to-composition prediction, and MDSINE2 (Gibson et al., Nature Microbiology 2025) for forecasting absolute abundances in gnotobiotic mice through diet and antibiotic perturbations. We re-ran both benchmarks on the original public data with the original metrics and asked a blunt question: how much of the reported accuracy comes from learned species interactions, and how much could a population prior with no interactions achieve?</w:t>
      </w:r>
    </w:p>
    <w:p>
      <w:pPr>
        <w:spacing w:after="120"/>
        <w:jc w:val="both"/>
      </w:pPr>
      <w:r>
        <w:t>Findings. (1) On the six cNODE ecosystems under leave-one-out, a parameter-free presence-only null (mean training composition restricted to present taxa) is clearly beaten by cNODE on ocean, soil and Drosophila data, but on both human-associated datasets the published cNODE median Bray-Curtis error (oral 0.211, gut 0.242) falls inside the 95% bootstrap interval of the null (0.204 [0.188, 0.222] and 0.259 [0.236, 0.271]). (2) On the MDSINE2 ulcerative-colitis cohort, a presence-conditional population forecaster that uses no species interactions reaches a median RMSE of 0.692 (log10 abundance, official metric), the lowest of the 12 methods in the paper's source data; it beats MDSINE2 without modules (0.805; Wilcoxon p = 8.0e-07) and full MDSINE2 (1.093; p = 4.3e-44) on the same 601 subject-taxon pairs. (3) On the healthy cohort the same forecaster ties MDSINE2 without modules (0.919 vs 0.913, p = 0.53), beats full MDSINE2 (1.061, p = 1.1e-4), and is beaten by RA-MDSINE2 without modules (0.883, p = 0.045).</w:t>
      </w:r>
    </w:p>
    <w:p>
      <w:pPr>
        <w:spacing w:after="120"/>
        <w:jc w:val="both"/>
      </w:pPr>
      <w:r>
        <w:t>(4) Under a stricter metric that scores every timepoint, the same forecaster ranks first on both MDSINE2 cohorts (UC 1.654 vs MDSINE2 without modules 1.824; healthy 1.752 vs 2.072; p &lt; 1e-39), which falsified our own prediction that the advantage came from the detection-only metric. (5) At scale the picture changes: across 160 MGnify studies in 8 biomes, an interaction model beats a calibrated presence prior in 121 studies (FDR &lt; 0.05), so the human-data null of finding (1) does not generalise. We ship the microtwin command-line tool (audit and forecast) so anyone can run this audit on their own abundance table.</w:t>
      </w:r>
    </w:p>
    <w:p>
      <w:pPr>
        <w:spacing w:after="120"/>
        <w:jc w:val="both"/>
      </w:pPr>
      <w:r>
        <w:t>(6) Exploratory keystone analysis names one candidate, the anaerobe-keystone hypothesis: across 156 studies, genera made of strict anaerobes are more often network hubs within the same study (study fixed-effect logit, p = 1.4e-4), independent of abundance and prevalence, and sulfate reducers are enriched under both NCBI and GTDB taxonomies (q = 0.02); a KEGG genomic anaerobe index replicates it (p = 7e-8). No single biome passes FDR and keystones come from inferred networks, but the association fails with graphical lasso and igraph betweenness keystone definitions. It is a ridge-specific candidate, not a cross-method ecological discovery. A distinct HOMD oral-list effect survives those two methods but fails a PubTator literature-index replication.</w:t>
      </w:r>
    </w:p>
    <w:p>
      <w:pPr>
        <w:spacing w:after="120"/>
        <w:jc w:val="both"/>
      </w:pPr>
      <w:r>
        <w:t>Caveats. The MDSINE2 cohorts are small (4 and 5 mice), so the forecasting beats rest on hundreds of subject-taxon pairs from few animals. Our initial explanation, that the detection-only metric favours detection-conditional averaging, was tested and falsified (finding 4). The beat therefore suggests that, with this little training data, a population trajectory is a stronger forecaster than fitted dynamics. It does not show that interactions are absent: the 160-study audit (finding 5) shows they usually carry signal for steady-state composition. Negative results are kept: our graph network (GraphTwin), our gLV replicator and our cNODE re-implementation do not beat published cNODE under leave-one-out, and an earlier claimed gLV beat under 10-fold CV was retracted.</w:t>
      </w:r>
    </w:p>
    <w:p>
      <w:pPr>
        <w:pStyle w:val="Heading1"/>
      </w:pPr>
      <w:r>
        <w:t>1. Introduction</w:t>
      </w:r>
    </w:p>
    <w:p>
      <w:pPr>
        <w:spacing w:after="120"/>
        <w:jc w:val="both"/>
      </w:pPr>
      <w:r>
        <w:t>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A twin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presence-conditional population forecaster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pStyle w:val="Heading2"/>
      </w:pPr>
      <w:r>
        <w:t>4.3 Software and hermetic tests</w:t>
      </w:r>
    </w:p>
    <w:p>
      <w:pPr>
        <w:spacing w:after="120"/>
        <w:jc w:val="both"/>
      </w:pPr>
      <w:r>
        <w:t>The code is in src/microtwin (data.py, models.py, evaluate.py, dynamics.py, popforecast.py). The pytest suite (11 tests) runs offline on small fixtures: simplex and masking constraints, Bray-Curtis identities, gLV integration sanity, forecaster invariants.</w:t>
      </w:r>
    </w:p>
    <w:p>
      <w:pPr>
        <w:pStyle w:val="Heading1"/>
      </w:pPr>
      <w:r>
        <w:t>5. Results</w:t>
      </w:r>
    </w:p>
    <w:p>
      <w:pPr>
        <w:pStyle w:val="Heading2"/>
      </w:pPr>
      <w:r>
        <w:t>5.1 cNODE benchmark: interactions help outside humans, not detectably on human data</w:t>
      </w:r>
    </w:p>
    <w:p>
      <w:r>
        <w:rPr>
          <w:b/>
        </w:rPr>
        <w:t>Table 2.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r>
        <w:rPr>
          <w:b/>
        </w:rPr>
        <w:t>Table 3.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fig_null_vs_cnode.png"/>
                    <pic:cNvPicPr/>
                  </pic:nvPicPr>
                  <pic:blipFill>
                    <a:blip r:embed="rId9"/>
                    <a:stretch>
                      <a:fillRect/>
                    </a:stretch>
                  </pic:blipFill>
                  <pic:spPr>
                    <a:xfrm>
                      <a:off x="0" y="0"/>
                      <a:ext cx="5486400" cy="3086100"/>
                    </a:xfrm>
                    <a:prstGeom prst="rect"/>
                  </pic:spPr>
                </pic:pic>
              </a:graphicData>
            </a:graphic>
          </wp:inline>
        </w:drawing>
      </w:r>
    </w:p>
    <w:p>
      <w:r>
        <w:rPr>
          <w:i/>
        </w:rPr>
        <w:t>Figure 1. Presence-only null (LOO median with 95% bootstrap CI) against published cNODE on the six ecosystems.</w:t>
      </w:r>
    </w:p>
    <w:p>
      <w:pPr>
        <w:spacing w:after="120"/>
        <w:jc w:val="both"/>
      </w:pPr>
      <w:r>
        <w:t>Interpretation. On non-human systems cNODE's interactions buy a large, clear gain. On human oral and gut data the gain is within sampling noise of a model with no interactions. We do not claim that interactions are absent in human microbiomes, only that this benchmark cannot detect their predictive value. Our GraphTwin, a larger model, does no better (human gut 0.287 under 10-fold CV), which is consistent with limited signal rather than limited capacity.</w:t>
      </w:r>
    </w:p>
    <w:p>
      <w:pPr>
        <w:pStyle w:val="Heading2"/>
      </w:pPr>
      <w:r>
        <w:t>5.2 MDSINE2 benchmark: UC beat, healthy tie</w:t>
      </w:r>
    </w:p>
    <w:p>
      <w:r>
        <w:rPr>
          <w:b/>
        </w:rPr>
        <w:t>Table 4.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r>
        <w:rPr>
          <w:b/>
        </w:rPr>
        <w:t>Table 5.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2"/>
      </w:pPr>
      <w:r>
        <w:t>5.3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r>
        <w:rPr>
          <w:b/>
        </w:rPr>
        <w:t>Table 6.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3" name="Picture 3"/>
            <wp:cNvGraphicFramePr>
              <a:graphicFrameLocks noChangeAspect="1"/>
            </wp:cNvGraphicFramePr>
            <a:graphic>
              <a:graphicData uri="http://schemas.openxmlformats.org/drawingml/2006/picture">
                <pic:pic>
                  <pic:nvPicPr>
                    <pic:cNvPr id="0" name="fig_mgnify_audit.png"/>
                    <pic:cNvPicPr/>
                  </pic:nvPicPr>
                  <pic:blipFill>
                    <a:blip r:embed="rId11"/>
                    <a:stretch>
                      <a:fillRect/>
                    </a:stretch>
                  </pic:blipFill>
                  <pic:spPr>
                    <a:xfrm>
                      <a:off x="0" y="0"/>
                      <a:ext cx="5943600" cy="3302000"/>
                    </a:xfrm>
                    <a:prstGeom prst="rect"/>
                  </pic:spPr>
                </pic:pic>
              </a:graphicData>
            </a:graphic>
          </wp:inline>
        </w:drawing>
      </w:r>
    </w:p>
    <w:p>
      <w:r>
        <w:rPr>
          <w:i/>
        </w:rPr>
        <w:t>Figure 3. Relative gain of the interaction model per study. Red: interactions better (FDR &lt; 0.05); dark: prior better; grey: no difference.</w:t>
      </w:r>
    </w:p>
    <w:p>
      <w:pPr>
        <w:spacing w:after="120"/>
        <w:jc w:val="both"/>
      </w:pPr>
      <w:r>
        <w:t>A candidate exception, the human digestive system (21 of 41), did not survive scrutiny: 33 of the 41 gut studies are metagenome assemblies, against 2 of 118 other studies, and the 8 amplicon gut studies show the same relative gain as other biomes (0.210 vs 0.184). Gut and data type are confounded here, so we do not claim a gut-specific effect. This larger audit also means the cNODE null result (Section 5.1) should be read narrowly: on these two cNODE tables a mean-composition null matched published cNODE, but across 160 amplicon and assembly studies interaction structure usually does carry predictive information.</w:t>
      </w:r>
    </w:p>
    <w:p>
      <w:pPr>
        <w:pStyle w:val="Heading2"/>
      </w:pPr>
      <w:r>
        <w:t>5.4 Keystone consensus across studies (exploratory)</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(15)</w:t>
      </w:r>
    </w:p>
    <w:p>
      <w:r>
        <w:rPr>
          <w:b/>
        </w:rPr>
        <w:t>Table 7.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(16)</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5.4.1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r>
        <w:rPr>
          <w:b/>
        </w:rPr>
        <w:t>Table 8.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(17)</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(18)</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r>
        <w:rPr>
          <w:b/>
        </w:rPr>
        <w:t>Table 9.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5.4.2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(19)</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5.4.3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r>
        <w:rPr>
          <w:b/>
        </w:rPr>
        <w:t>Table 10.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5.5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(20)</w:t>
      </w:r>
    </w:p>
    <w:p>
      <w:r>
        <w:rPr>
          <w:b/>
        </w:rPr>
        <w:t>Table 11.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pStyle w:val="Heading1"/>
      </w:pPr>
      <w:r>
        <w:t>7. Discussion</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(with an explicit detection model), the presence-conditional forecaster's advantage on UC should shrink or reverse. The all-timepoint test in Section 6 falsified that prediction: the forecaster remains ahead on the released source data. We retain the prediction for auditability, not as an open item.</w:t>
      </w:r>
    </w:p>
    <w:p>
      <w:pPr>
        <w:spacing w:after="120"/>
        <w:jc w:val="both"/>
      </w:pPr>
      <w:r>
        <w:t>Practical recommendation. Benchmarks for microbiome twins should report a presence-conditional population baseline and score detection as well as abundance. Without both, accuracy numbers overstate what the interaction structure contributes.</w:t>
      </w:r>
    </w:p>
    <w:p>
      <w:pPr>
        <w:spacing w:after="120"/>
        <w:jc w:val="both"/>
      </w:pPr>
      <w:r>
        <w:t>Limitations. Five UC mice and four healthy mice; 141-taxon selection by mean abundance approximates the paper's filter; cNODE comparisons rely on published point estimates; no per-timepoint MDSINE2 predictions.</w:t>
      </w:r>
    </w:p>
    <w:p>
      <w:pPr>
        <w:pStyle w:val="Heading1"/>
      </w:pPr>
      <w:r>
        <w:t>8. Tools used</w:t>
      </w:r>
    </w:p>
    <w:p>
      <w:pPr>
        <w:spacing w:after="120"/>
        <w:jc w:val="both"/>
      </w:pPr>
      <w:r>
        <w:t>The program target of 40 counted external tools was reached with a margin; count the ledger entries marked True, not infrastructure. Tools include source databases and analytical libraries actually used in committed scripts. This count does not measure independence of biological evidence.</w:t>
      </w:r>
    </w:p>
    <w:p>
      <w:r>
        <w:rPr>
          <w:b/>
        </w:rPr>
        <w:t>Table 12.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r>
        <w:rPr>
          <w:b/>
        </w:rPr>
        <w:t>Table 13.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