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5.1.3 Live source context for the eight unflagged digestive titles</w:t>
      </w:r>
    </w:p>
    <w:p>
      <w:pPr>
        <w:spacing w:after="120"/>
        <w:jc w:val="both"/>
      </w:pPr>
      <w:r>
        <w:t>To test whether the eight title-unflagged records could even be described uniformly as human-gut amplicon studies, we inspected their live MGnify study endpoints without reopening or re-scoring taxon outcomes.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A second source read moves from study abstracts to MGnify analysis records and sample-host metadata, but it does not yet map each historical SSU abundance column to its analysis.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To estimate an assay-specific win rate, the old SSU file's run columns must be joined to exact analysis and sample identifiers and grouped by source project and biological host.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 correct analysis-type count does not link a historical abundance column to an analysis; a normalized human species code need not agree with the source's host scientific name; and complete pagination does not establish an independent source family. We therefore emit a six-field status vector for each of the eight old title-unflagged digestive records. It separates analysis pagination, uniform analysis type, sample pagination, explicit host compatibility, archive-column mapping and biological-family independence. `Unknown` is an intentional output rather than a false value that someone can accidentally average away. The uncompleted eighth source is unknown on every dimension, while the completed sources still have unknown archive-column mapping and independent-family status.</w:t>
      </w:r>
    </w:p>
    <w:p>
      <w:pPr>
        <w:keepNext/>
      </w:pPr>
      <w:r>
        <w:rPr>
          <w:b/>
        </w:rPr>
        <w:t>Table 8. Source metadata-integrity matrix, not an eligibility leaderboard. Study IDs shorten MGYS0000 to M (e.g., M6755 = MGYS00006755). All eight lack an old SSU column map and independent-family certificate; missing host details stay unknown.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study</w:t>
            </w:r>
          </w:p>
        </w:tc>
        <w:tc>
          <w:tcPr>
            <w:tcW w:type="dxa" w:w="1440"/>
            <w:vAlign w:val="center"/>
          </w:tcPr>
          <w:p>
            <w:pPr>
              <w:jc w:val="left"/>
            </w:pPr>
            <w:r>
              <w:rPr>
                <w:rFonts w:ascii="Times New Roman" w:hAnsi="Times New Roman"/>
                <w:sz w:val="18"/>
              </w:rPr>
              <w:t>analysis type</w:t>
            </w:r>
          </w:p>
        </w:tc>
        <w:tc>
          <w:tcPr>
            <w:tcW w:type="dxa" w:w="1440"/>
            <w:vAlign w:val="center"/>
          </w:tcPr>
          <w:p>
            <w:pPr>
              <w:jc w:val="left"/>
            </w:pPr>
            <w:r>
              <w:rPr>
                <w:rFonts w:ascii="Times New Roman" w:hAnsi="Times New Roman"/>
                <w:sz w:val="18"/>
              </w:rPr>
              <w:t>sample pages</w:t>
            </w:r>
          </w:p>
        </w:tc>
        <w:tc>
          <w:tcPr>
            <w:tcW w:type="dxa" w:w="1440"/>
            <w:vAlign w:val="center"/>
          </w:tcPr>
          <w:p>
            <w:pPr>
              <w:jc w:val="left"/>
            </w:pPr>
            <w:r>
              <w:rPr>
                <w:rFonts w:ascii="Times New Roman" w:hAnsi="Times New Roman"/>
                <w:sz w:val="18"/>
              </w:rPr>
              <w:t>explicit human host</w:t>
            </w:r>
          </w:p>
        </w:tc>
        <w:tc>
          <w:tcPr>
            <w:tcW w:type="dxa" w:w="1440"/>
            <w:vAlign w:val="center"/>
          </w:tcPr>
          <w:p>
            <w:pPr>
              <w:jc w:val="left"/>
            </w:pPr>
            <w:r>
              <w:rPr>
                <w:rFonts w:ascii="Times New Roman" w:hAnsi="Times New Roman"/>
                <w:sz w:val="18"/>
              </w:rPr>
              <w:t>old column map</w:t>
            </w:r>
          </w:p>
        </w:tc>
        <w:tc>
          <w:tcPr>
            <w:tcW w:type="dxa" w:w="1440"/>
            <w:vAlign w:val="center"/>
          </w:tcPr>
          <w:p>
            <w:pPr>
              <w:jc w:val="left"/>
            </w:pPr>
            <w:r>
              <w:rPr>
                <w:rFonts w:ascii="Times New Roman" w:hAnsi="Times New Roman"/>
                <w:sz w:val="18"/>
              </w:rPr>
              <w:t>source family</w:t>
            </w:r>
          </w:p>
        </w:tc>
      </w:tr>
      <w:tr>
        <w:tc>
          <w:tcPr>
            <w:tcW w:type="dxa" w:w="1440"/>
            <w:vAlign w:val="center"/>
          </w:tcPr>
          <w:p>
            <w:pPr>
              <w:jc w:val="left"/>
            </w:pPr>
            <w:r>
              <w:rPr>
                <w:rFonts w:ascii="Times New Roman" w:hAnsi="Times New Roman"/>
                <w:sz w:val="18"/>
              </w:rPr>
              <w:t>M0633</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M2238</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M5154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M5230</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M6006</w:t>
            </w:r>
          </w:p>
        </w:tc>
        <w:tc>
          <w:tcPr>
            <w:tcW w:type="dxa" w:w="1440"/>
            <w:vAlign w:val="center"/>
          </w:tcPr>
          <w:p>
            <w:pPr>
              <w:jc w:val="left"/>
            </w:pPr>
            <w:r>
              <w:rPr>
                <w:rFonts w:ascii="Times New Roman" w:hAnsi="Times New Roman"/>
                <w:sz w:val="18"/>
              </w:rPr>
              <w:t>assembly</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M6755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conflict</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M6794</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r>
        <w:tc>
          <w:tcPr>
            <w:tcW w:type="dxa" w:w="1440"/>
            <w:vAlign w:val="center"/>
          </w:tcPr>
          <w:p>
            <w:pPr>
              <w:jc w:val="left"/>
            </w:pPr>
            <w:r>
              <w:rPr>
                <w:rFonts w:ascii="Times New Roman" w:hAnsi="Times New Roman"/>
                <w:sz w:val="18"/>
              </w:rPr>
              <w:t>M6795</w:t>
            </w:r>
          </w:p>
        </w:tc>
        <w:tc>
          <w:tcPr>
            <w:tcW w:type="dxa" w:w="1440"/>
            <w:vAlign w:val="center"/>
          </w:tcPr>
          <w:p>
            <w:pPr>
              <w:jc w:val="left"/>
            </w:pPr>
            <w:r>
              <w:rPr>
                <w:rFonts w:ascii="Times New Roman" w:hAnsi="Times New Roman"/>
                <w:sz w:val="18"/>
              </w:rPr>
              <w:t>amplicon</w:t>
            </w:r>
          </w:p>
        </w:tc>
        <w:tc>
          <w:tcPr>
            <w:tcW w:type="dxa" w:w="1440"/>
            <w:vAlign w:val="center"/>
          </w:tcPr>
          <w:p>
            <w:pPr>
              <w:jc w:val="left"/>
            </w:pPr>
            <w:r>
              <w:rPr>
                <w:rFonts w:ascii="Times New Roman" w:hAnsi="Times New Roman"/>
                <w:sz w:val="18"/>
              </w:rPr>
              <w:t>yes</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c>
          <w:tcPr>
            <w:tcW w:type="dxa" w:w="1440"/>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every examined sample reports a nonhuman host scientific name while the normalized species says Homo sapiens.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Only MGYS00002238 and MGYS00005154 currently have complete human names in these aggregate fields, but neither has an audit-column-to-analysis crosswalk, independently verified subject units, source-family independence or rights review in this screen.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20.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21.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22.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23.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24.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25.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26.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27.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28.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29.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30.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31.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32.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33.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34.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35.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36.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37.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38.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