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A second source read moves from study abstracts to MGnify analysis records and sample-host metadata, but it does not yet map each historical SSU abundance column to its analysis.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To estimate an assay-specific win rate, the old SSU file's run columns must be joined to exact analysis and sample identifiers and grouped by source project and biological host.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8.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9.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10.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11.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13.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14.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15.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16.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17.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18.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19.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20.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21.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22.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23.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24.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25.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26.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27.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28.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29.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30.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31.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32.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33.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34.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35.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36.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37.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