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and the limitations - rigid receptor, no covalency, n = 15 labeled compounds - are stated where they bite.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recovery curve (0.34 -&gt; 0.68 -&gt; 0.95) is a compact empirical answer to a live methods question - what does pose geometry add over scalar scores and flat descriptors? - measured on one target with one protocol.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label set is small (15 labeled compounds) and literature labels carry assay heterogeneity; every AUROC here inherits that width.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