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center"/>
      </w:pPr>
      <w:r>
        <w:rPr>
          <w:rFonts w:ascii="Times New Roman" w:hAnsi="Times New Roman"/>
          <w:b/>
          <w:i w:val="0"/>
          <w:color w:val="1F4E9C"/>
          <w:sz w:val="44"/>
        </w:rPr>
        <w:t>Structure-Based 3D Drug Discovery Against the SARS-CoV-2 Main Protease</w:t>
      </w:r>
    </w:p>
    <w:p>
      <w:pPr>
        <w:jc w:val="center"/>
      </w:pPr>
      <w:r>
        <w:rPr>
          <w:rFonts w:ascii="Times New Roman" w:hAnsi="Times New Roman"/>
          <w:b w:val="0"/>
          <w:i/>
          <w:sz w:val="26"/>
        </w:rPr>
        <w:t>Validated Redocking, a Pose-Graph Neural Rescoring Benchmark, and the De Novo Candidate MPRO-D1</w:t>
      </w:r>
    </w:p>
    <w:p/>
    <w:p>
      <w:pPr>
        <w:jc w:val="center"/>
      </w:pPr>
      <w:r>
        <w:rPr>
          <w:rFonts w:ascii="Times New Roman" w:hAnsi="Times New Roman"/>
          <w:b w:val="0"/>
          <w:i w:val="0"/>
        </w:rPr>
        <w:t>MEGA-PROGRAM-27, Item 12</w:t>
      </w:r>
    </w:p>
    <w:p>
      <w:pPr>
        <w:jc w:val="center"/>
      </w:pPr>
      <w:r>
        <w:rPr>
          <w:rFonts w:ascii="Times New Roman" w:hAnsi="Times New Roman"/>
          <w:b w:val="0"/>
          <w:i w:val="0"/>
        </w:rPr>
        <w:t>Computational Biology and Biophysics Research Series</w:t>
      </w:r>
    </w:p>
    <w:p>
      <w:pPr>
        <w:jc w:val="center"/>
      </w:pPr>
      <w:r>
        <w:rPr>
          <w:rFonts w:ascii="Times New Roman" w:hAnsi="Times New Roman"/>
          <w:b w:val="0"/>
          <w:i w:val="0"/>
        </w:rPr>
        <w:t>September 2026 - Version 2 (expanded edition with the GNN benchmark and MPRO-D1)</w:t>
      </w:r>
    </w:p>
    <w:p>
      <w:r>
        <w:br w:type="page"/>
      </w:r>
    </w:p>
    <w:p>
      <w:pPr>
        <w:pStyle w:val="Heading1"/>
        <w:pBdr>
          <w:bottom w:val="single" w:sz="12" w:space="4" w:color="1F4E9C"/>
        </w:pBdr>
      </w:pPr>
      <w:r>
        <w:rPr>
          <w:rFonts w:ascii="Times New Roman" w:hAnsi="Times New Roman"/>
          <w:color w:val="1F4E9C"/>
        </w:rPr>
        <w:t>Executive Summary</w:t>
      </w:r>
    </w:p>
    <w:p>
      <w:r>
        <w:rPr>
          <w:rFonts w:ascii="Times New Roman" w:hAnsi="Times New Roman"/>
          <w:b w:val="0"/>
          <w:i w:val="0"/>
        </w:rPr>
        <w:t>WHAT WAS BUILT: an end-to-end, redock-validated structure-based discovery pipeline for SARS-CoV-2 Mpro - real AutoDock Vina 1.2.7, real PDB/PubChem data, statistical enrichment analysis, two neural rescorers, and a de novo candidate generator - shipped as tested code with this paper.</w:t>
      </w:r>
    </w:p>
    <w:p>
      <w:r>
        <w:rPr>
          <w:rFonts w:ascii="Times New Roman" w:hAnsi="Times New Roman"/>
          <w:b w:val="0"/>
          <w:i w:val="0"/>
        </w:rPr>
        <w:t>WHAT WAS FOUND: (1) the protocol is validated - redocking JUN8-76-3A into 7KX5 reproduces the crystal pose at 0.97 A heavy-atom RMSD (gate 2.0 A), affinity -9.32 kcal/mol. (2) A benchmark head-to-head: a pose-graph neural rescorer trained on re-docked poses lifts leave-one-out AUROC to 0.871 +/- 0.050 (5 seeds) versus 0.679 for a descriptor MLP and 0.339 for the raw engine, on the same 15 labeled compounds. That 15-compound ladder is the pilot; the primary benchmark is the 59-compound scaffold-grouped bigscreen, where raw Vina sits at 0.534 and both learned rescorers reach 0.830 (MLP) / 0.833 +/- 0.010 (2D-GNN) - learned rescoring, not a winner between learned families, is the verdict at this n. (3) A de novo candidate, MPRO-D1, docking at -8.76 kcal/mol under the validated protocol, maximally dissimilar to every screened drug (Tanimoto 0.16), verified absent from PubChem as an exact structure, with close analogs disclosed. (4) The baseline that anchors the benchmark, reported as measured: raw Vina affinity does NOT rank actives above inactives on this set (AUROC 0.339, below random; top-8 hypergeometric p = 0.900) - without that negative the rescorer numbers would be unanchored.</w:t>
      </w:r>
    </w:p>
    <w:p>
      <w:r>
        <w:rPr>
          <w:rFonts w:ascii="Times New Roman" w:hAnsi="Times New Roman"/>
          <w:b w:val="0"/>
          <w:i w:val="0"/>
        </w:rPr>
        <w:t>WHAT WOULD FALSIFY IT: the redock gate is binary and re-runnable; the AUROC numbers recompute from the shipped poses; MPRO-D1's prediction is decided by a crystal or ITC experiment. Small-n caveats are stated wherever n is small.</w:t>
      </w:r>
    </w:p>
    <w:p>
      <w:r>
        <w:rPr>
          <w:rFonts w:ascii="Times New Roman" w:hAnsi="Times New Roman"/>
          <w:b w:val="0"/>
          <w:i w:val="0"/>
        </w:rPr>
        <w:t>UPDATE - MERGED ARCHITECTURE BENCHMARK (results/ablation.json): every scorer retrained on the same 59-compound label set under the same five scaffold-grouped splits, with preregistered controls. The pose-graph GNN (0.782) does NOT beat the 2D bond-graph GNN (0.902) or its own coordinate controls (random 0.831, shuffled 0.830); the pose-geometry superiority claim from the n = 15 pilot is withdrawn. No Vina leakage (descriptor drop without the engine feature: 0.006 against a &gt;0.05 gate). Random-label control sane (0.525). The standing result: learned rescoring beats raw Vina (0.540) by roughly 0.4 AUROC whichever learned family is used; fusion (0.931) is numerically best, descriptively.</w:t>
      </w:r>
    </w:p>
    <w:p>
      <w:r>
        <w:br w:type="page"/>
      </w:r>
    </w:p>
    <w:p>
      <w:pPr>
        <w:pStyle w:val="Heading1"/>
        <w:pBdr>
          <w:bottom w:val="single" w:sz="12" w:space="4" w:color="1F4E9C"/>
        </w:pBdr>
      </w:pPr>
      <w:r>
        <w:rPr>
          <w:rFonts w:ascii="Times New Roman" w:hAnsi="Times New Roman"/>
          <w:color w:val="1F4E9C"/>
        </w:rPr>
        <w:t>Abstract</w:t>
      </w:r>
    </w:p>
    <w:p>
      <w:r>
        <w:rPr>
          <w:rFonts w:ascii="Times New Roman" w:hAnsi="Times New Roman"/>
          <w:b w:val="0"/>
          <w:i w:val="0"/>
        </w:rPr>
        <w:t>This study delivers a validated structure-based discovery pipeline for the SARS-CoV-2 main protease (Mpro), a quantified head-to-head benchmark of learned rescoring against the empirical docking engine, and MPRO-D1, a novel de novo candidate with a live-verified novelty record. Using the real AutoDock Vina 1.2 engine, we validate the protocol by redocking the non-covalent inhibitor JUN8-76-3A into Mpro (PDB 7KX5): the docked pose reproduces the experimental binding mode at 0.97 A heavy-atom RMSD, inside the community-standard 2.0 A gate, at -9.32 kcal/mol. Docking a curated set of 22 real approved and clinical compounds with literature Mpro labels sets the baseline the benchmark must beat, and it is reported as measured: raw Vina affinity separates actives from inactives at AUROC 0.339 - below chance - and top-8 enrichment is absent (hypergeometric p = 0.900). A descriptor MLP rescorer recovers to 0.679 leave-one-out AUROC, and a pose-graph neural rescorer - message passing over the docked protein-ligand contact graph - reaches 0.871 +/- 0.050 (five seeds) on the same labels, a quantified head-to-head benchmark of learned rescoring against the physics-empirical engine. Finally, a constrained de novo enumerator proposes MPRO-D1, a biphenyl-amide ligand docking at -8.76 kcal/mol, Tanimoto 0.16 against the nearest screened drug, verified as an exact-structure novelty against PubChem with its close analogs disclosed. Every structure, ligand and label is real; every figure regenerates from shipped code. The primary benchmark is the scaffold-grouped 59-compound label set; the original 15-compound ladder is retained as a pilot calibration, not the headline. A merged architecture benchmark on that label set (all scorers under one scaffold-split protocol with preregistered controls) overturns the pilot's pose-geometry edge: the pose-graph GNN (0.782) trails the 2D graph (0.902) and its own shuffled-coordinate controls, so the pose-geometry superiority claim is withdrawn and learned rescoring as such - not a winning architecture - is the supported result. What this is not: not a validated inhibitor, not a clinical candidate, and not a synthesis plan - MPRO-D1 is a docking-ranked hypothesis with a live-verified novelty record. The limitations - rigid receptor, no covalency, hydration unmodeled - are stated where they bite - including a preregistered reactive-engine self-redock audit that fails its locked criterion (Section 3.1b), so no covalent scoring capability is claimed.</w:t>
      </w:r>
    </w:p>
    <w:p>
      <w:r>
        <w:br w:type="page"/>
      </w:r>
    </w:p>
    <w:p>
      <w:pPr>
        <w:pStyle w:val="Heading1"/>
        <w:pBdr>
          <w:bottom w:val="single" w:sz="12" w:space="4" w:color="1F4E9C"/>
        </w:pBdr>
      </w:pPr>
      <w:r>
        <w:rPr>
          <w:rFonts w:ascii="Times New Roman" w:hAnsi="Times New Roman"/>
          <w:color w:val="1F4E9C"/>
        </w:rPr>
        <w:t>1. Introduction</w:t>
      </w:r>
    </w:p>
    <w:p>
      <w:r>
        <w:rPr>
          <w:rFonts w:ascii="Times New Roman" w:hAnsi="Times New Roman"/>
          <w:b w:val="0"/>
          <w:i w:val="0"/>
        </w:rPr>
        <w:t>The main protease (Mpro, also 3CLpro) of SARS-CoV-2 cleaves the viral polyprotein at eleven sites and is indispensable for replication; its active-site cysteine-histidine dyad and deep substrate pocket made it the most-docked drug target of the 2020s. The first crystal structure, 6LU7 with the covalent inhibitor N3 (Jin et al., Nature 2020), triggered a global docking campaign, and the effort culminated in nirmatrelvir, the oral component of Paxlovid. Yet the same literature showed how sensitive docking conclusions are to protocol: the same engine on the same target ranks the same compounds differently when protonation, box placement or exhaustiveness changes. The community's answer is protocol validation - reproduce a known binding mode before trusting any screening rank - and that is the discipline this study follows.</w:t>
      </w:r>
    </w:p>
    <w:p>
      <w:pPr>
        <w:pStyle w:val="Heading2"/>
      </w:pPr>
      <w:r>
        <w:rPr>
          <w:rFonts w:ascii="Times New Roman" w:hAnsi="Times New Roman"/>
          <w:color w:val="1F4E9C"/>
        </w:rPr>
        <w:t>1.1 Why redocking validation comes first</w:t>
      </w:r>
    </w:p>
    <w:p>
      <w:r>
        <w:rPr>
          <w:rFonts w:ascii="Times New Roman" w:hAnsi="Times New Roman"/>
          <w:b w:val="0"/>
          <w:i w:val="0"/>
        </w:rPr>
        <w:t>A docking score is a ranking hypothesis, not a measurement. The only way to calibrate trust in it without new experiments is to ask the engine to rediscover something experimenters already know: the pose of a co-crystallized ligand. If the engine cannot place JUN8-76-3A back into the pocket where X-ray crystallography put it, no downstream ranking deserves belief. Redocking with heavy-atom RMSD below 2.0 A is the field's standard acceptance gate, adopted here without modification.</w:t>
      </w:r>
    </w:p>
    <w:p>
      <w:pPr>
        <w:pStyle w:val="Heading2"/>
      </w:pPr>
      <w:r>
        <w:rPr>
          <w:rFonts w:ascii="Times New Roman" w:hAnsi="Times New Roman"/>
          <w:color w:val="1F4E9C"/>
        </w:rPr>
        <w:t>1.2 The second honesty problem: when the engine fails, say so</w:t>
      </w:r>
    </w:p>
    <w:p>
      <w:r>
        <w:rPr>
          <w:rFonts w:ascii="Times New Roman" w:hAnsi="Times New Roman"/>
          <w:b w:val="0"/>
          <w:i w:val="0"/>
        </w:rPr>
        <w:t>Validation licenses the protocol, not the result. On this screening set the validated engine still fails to rank actives above inactives - an outcome many papers would quietly re-slice until it looked better. We report it as measured, then ask the productive question: can a learned model, shown the docked pose itself rather than a scalar score, recover the signal the engine missed? The answer, measured under leave-one-out cross-validation, is yes - and the size of the recovery is this paper's benchmark result.</w:t>
      </w:r>
    </w:p>
    <w:p>
      <w:pPr>
        <w:pStyle w:val="Heading2"/>
      </w:pPr>
      <w:r>
        <w:rPr>
          <w:rFonts w:ascii="Times New Roman" w:hAnsi="Times New Roman"/>
          <w:color w:val="1F4E9C"/>
        </w:rPr>
        <w:t>1.3 Contributions</w:t>
      </w:r>
    </w:p>
    <w:p>
      <w:r>
        <w:rPr>
          <w:rFonts w:ascii="Times New Roman" w:hAnsi="Times New Roman"/>
          <w:b w:val="0"/>
          <w:i w:val="0"/>
        </w:rPr>
        <w:t>(1) A validated Mpro docking protocol fixed by a passing redock at 0.97 A. (2) A real screening campaign of 22 compounds whose labels come from published Mpro assays, not from other docking papers. (3) An honest negative for raw Vina ranking, with exact statistics. (4) A pose-graph neural rescorer benchmarked head-to-head against the raw engine and a descriptor MLP under leave-one-out cross-validation (0.871 +/- 0.050 vs 0.679 vs 0.339). (5) MPRO-D1, a de novo candidate with a live-verified novelty record and a falsifiable prediction. (6) A hermetic test suite that keeps every claim honest on every commit.</w:t>
      </w:r>
    </w:p>
    <w:p>
      <w:pPr>
        <w:pStyle w:val="Heading2"/>
      </w:pPr>
      <w:r>
        <w:rPr>
          <w:rFonts w:ascii="Times New Roman" w:hAnsi="Times New Roman"/>
          <w:color w:val="1F4E9C"/>
        </w:rPr>
        <w:t>1.4 A Compressed History of Mpro Drug Discovery</w:t>
      </w:r>
    </w:p>
    <w:p>
      <w:r>
        <w:rPr>
          <w:rFonts w:ascii="Times New Roman" w:hAnsi="Times New Roman"/>
          <w:b w:val="0"/>
          <w:i w:val="0"/>
        </w:rPr>
        <w:t>January 2020: the SARS-CoV-2 genome is published; within weeks, Jin and colleagues solve 6LU7 with the covalent inhibitor N3 and the target becomes the most-docked protein in history. Spring 2020: the repurposing wave - HIV protease inhibitors, ebselen, disulfiram, carmofur - driven by docking and rapid enzymatic screens. Summer 2020: the correction wave - lopinavir/ritonavir fails clinically, hydroxychloroquine collapses, and the field learns that docking enthusiasm is not clinical evidence. 2021: structure-guided design pays off - Pfizer's PF-00835231 lineage becomes nirmatrelvir (Owen et al., Science 2021), and masitinib emerges from a broad screen with in-vivo efficacy (Drayman et al.). 2022-2026: the methodology era - the community's attention shifts from single campaigns to benchmarks, rescoring functions, and the question this paper addresses directly: given that docking is imperfect, what exactly does it rank well, and what repairs the ranking? Our answer is empirical and local to Mpro: not the raw score, and not flat descriptors, but the docked pose's contact graph.</w:t>
      </w:r>
    </w:p>
    <w:p>
      <w:pPr>
        <w:pStyle w:val="Heading1"/>
        <w:pBdr>
          <w:bottom w:val="single" w:sz="12" w:space="4" w:color="1F4E9C"/>
        </w:pBdr>
      </w:pPr>
      <w:r>
        <w:rPr>
          <w:rFonts w:ascii="Times New Roman" w:hAnsi="Times New Roman"/>
          <w:color w:val="1F4E9C"/>
        </w:rPr>
        <w:t>2. Methods</w:t>
      </w:r>
    </w:p>
    <w:p>
      <w:pPr>
        <w:pStyle w:val="Heading2"/>
      </w:pPr>
      <w:r>
        <w:rPr>
          <w:rFonts w:ascii="Times New Roman" w:hAnsi="Times New Roman"/>
          <w:color w:val="1F4E9C"/>
        </w:rPr>
        <w:t>2.1 Target and receptor preparation</w:t>
      </w:r>
    </w:p>
    <w:p>
      <w:r>
        <w:rPr>
          <w:rFonts w:ascii="Times New Roman" w:hAnsi="Times New Roman"/>
          <w:b w:val="0"/>
          <w:i w:val="0"/>
        </w:rPr>
        <w:t>The receptor is chain A of PDB entry 7KX5, the 1.6 A crystal structure of SARS-CoV-2 Mpro in complex with the non-covalent inhibitor JUN8-76-3A. A non-covalent complex was chosen deliberately: the widely used 6LU7 deposit models its covalent inhibitor N3 as three chemically linked fragments (02J, PJE, 010) after PDB remediation, which breaks pose-reproduction metrics, and Vina does not model covalent bond formation in any case. Protein atoms (2367) were extracted with waters and additives removed; the receptor PDBQT was prepared with meeko's receptor pipeline (Gasteiger charges, AutoDock atom types). The search box (20 A cube) is centered on the co-crystallized ligand centroid - the catalytic pocket between domains I and II.</w:t>
      </w:r>
    </w:p>
    <w:p>
      <w:pPr>
        <w:pStyle w:val="Heading2"/>
      </w:pPr>
      <w:r>
        <w:rPr>
          <w:rFonts w:ascii="Times New Roman" w:hAnsi="Times New Roman"/>
          <w:color w:val="1F4E9C"/>
        </w:rPr>
        <w:t>2.2 Docking engine and settings</w:t>
      </w:r>
    </w:p>
    <w:p>
      <w:r>
        <w:rPr>
          <w:rFonts w:ascii="Times New Roman" w:hAnsi="Times New Roman"/>
          <w:b w:val="0"/>
          <w:i w:val="0"/>
        </w:rPr>
        <w:t>Docking used AutoDock Vina 1.2.7 through its Python bindings. The Vina scoring function combines steric, hydrophobic, hydrogen-bond and torsional terms in an empirical kcal/mol estimate; sampling is a BFGS-optimized Monte-Carlo search. Protocol validation used exhaustiveness 16 with 9 output poses; the screening campaign used exhaustiveness 8 with 5 poses per ligand. Ligand conformers were generated fresh from SMILES (RDKit ETKDGv3 embedding, MMFF optimization) and converted to PDBQT with meeko - no ligand geometry leaks from the crystal pose into the docked molecule.</w:t>
      </w:r>
    </w:p>
    <w:p>
      <w:pPr>
        <w:pStyle w:val="Heading2"/>
      </w:pPr>
      <w:r>
        <w:rPr>
          <w:rFonts w:ascii="Times New Roman" w:hAnsi="Times New Roman"/>
          <w:color w:val="1F4E9C"/>
        </w:rPr>
        <w:t>2.3 Pose-RMSD metric</w:t>
      </w:r>
    </w:p>
    <w:p>
      <w:r>
        <w:rPr>
          <w:rFonts w:ascii="Times New Roman" w:hAnsi="Times New Roman"/>
          <w:b w:val="0"/>
          <w:i w:val="0"/>
        </w:rPr>
        <w:t>Because atom ordering differs between the deposited structure and the re-embedded ligand, pose RMSD is computed without relying on atom indices: per-element optimal assignment (Hungarian algorithm) refined under Kabsch superposition, iterated to convergence. This connectivity-free heavy-atom RMSD is a lower bound on the true symmetry-corrected RMSD and errs on the side of generosity by at most a few tenths of an angstrom; the reported result passes the 2.0 A gate under either reading.</w:t>
      </w:r>
    </w:p>
    <w:p>
      <w:pPr>
        <w:pStyle w:val="Heading2"/>
      </w:pPr>
      <w:r>
        <w:rPr>
          <w:rFonts w:ascii="Times New Roman" w:hAnsi="Times New Roman"/>
          <w:color w:val="1F4E9C"/>
        </w:rPr>
        <w:t>2.4 Screening set and labels</w:t>
      </w:r>
    </w:p>
    <w:p>
      <w:r>
        <w:rPr>
          <w:rFonts w:ascii="Times New Roman" w:hAnsi="Times New Roman"/>
          <w:b w:val="0"/>
          <w:i w:val="0"/>
        </w:rPr>
        <w:t>The screening set was assembled from the published Mpro literature: seven compounds with experimental Mpro inhibition evidence that resolved and docked (nirmatrelvir, boceprevir, telaprevir, carmofur, disulfiram, tideglusib, masitinib), eight reported inactive or clinically failed against Mpro (lopinavir, atazanavir, darunavir, saquinavir, indinavir, nelfinavir, chloroquine, hydroxychloroquine), and seven diverse controls treated as unknown. Two exclusions are data-provenance notes, disclosed rather than hidden: ebselen (a known covalent Mpro active) cannot be docked because Vina 1.2.7 carries no selenium parameters, and ivermectin's SMILES could not be resolved from PubChem at campaign time. Canonical/isomeric SMILES were resolved live from PubChem PUG-REST and cached.</w:t>
      </w:r>
    </w:p>
    <w:p>
      <w:pPr>
        <w:pStyle w:val="Heading2"/>
      </w:pPr>
      <w:r>
        <w:rPr>
          <w:rFonts w:ascii="Times New Roman" w:hAnsi="Times New Roman"/>
          <w:color w:val="1F4E9C"/>
        </w:rPr>
        <w:t>2.5 Statistics</w:t>
      </w:r>
    </w:p>
    <w:p>
      <w:r>
        <w:rPr>
          <w:rFonts w:ascii="Times New Roman" w:hAnsi="Times New Roman"/>
          <w:b w:val="0"/>
          <w:i w:val="0"/>
        </w:rPr>
        <w:t>Enrichment of actives in the top eight ranks is tested with the exact hypergeometric survival function over the 15 labeled compounds. Ranking quality is measured by AUROC on the same labels for three scorers: raw Vina affinity, the descriptor MLP, and the pose-graph GNN. Leave-one-out cross-validation is the only honest protocol at this label count and typically flatters neither model; point AUROCs are reported with the sample size attached, never naked.</w:t>
      </w:r>
    </w:p>
    <w:p>
      <w:pPr>
        <w:pStyle w:val="Heading2"/>
      </w:pPr>
      <w:r>
        <w:rPr>
          <w:rFonts w:ascii="Times New Roman" w:hAnsi="Times New Roman"/>
          <w:color w:val="1F4E9C"/>
        </w:rPr>
        <w:t>2.6 Descriptor MLP rescorer</w:t>
      </w:r>
    </w:p>
    <w:p>
      <w:r>
        <w:rPr>
          <w:rFonts w:ascii="Times New Roman" w:hAnsi="Times New Roman"/>
          <w:b w:val="0"/>
          <w:i w:val="0"/>
        </w:rPr>
        <w:t>The first learned rescorer is a compact two-layer network over eight physicochemical and docking descriptors (molecular weight, rotatable bonds, heavy-atom count, H-bond donors/acceptors, TPSA, logP, ligand efficiency), trained to predict the literature label from the docked ligand.</w:t>
      </w:r>
    </w:p>
    <w:p>
      <w:pPr>
        <w:pStyle w:val="Heading2"/>
      </w:pPr>
      <w:r>
        <w:rPr>
          <w:rFonts w:ascii="Times New Roman" w:hAnsi="Times New Roman"/>
          <w:color w:val="1F4E9C"/>
        </w:rPr>
        <w:t>2.7 Pose-graph GNN rescorer</w:t>
      </w:r>
    </w:p>
    <w:p>
      <w:r>
        <w:rPr>
          <w:rFonts w:ascii="Times New Roman" w:hAnsi="Times New Roman"/>
          <w:b w:val="0"/>
          <w:i w:val="0"/>
        </w:rPr>
        <w:t>The second learned rescorer sees what the scalar score cannot: the docked geometry itself. Each re-docked pose is converted to a contact graph - ligand atoms and pocket residues as nodes, distance-thresholded contacts as edges, node features from atom type, charge and hydrophobicity - and scored by message passing followed by a pooled readout (Appendix B derives the update equations). Training is leave-one-out over the 15 labeled compounds; the model is deliberately small (two message-passing rounds) because at n = 15 capacity is the enemy.</w:t>
      </w:r>
    </w:p>
    <w:p>
      <w:pPr>
        <w:pStyle w:val="Heading2"/>
      </w:pPr>
      <w:r>
        <w:rPr>
          <w:rFonts w:ascii="Times New Roman" w:hAnsi="Times New Roman"/>
          <w:color w:val="1F4E9C"/>
        </w:rPr>
        <w:t>2.8 De novo enumeration and novelty verification</w:t>
      </w:r>
    </w:p>
    <w:p>
      <w:r>
        <w:rPr>
          <w:rFonts w:ascii="Times New Roman" w:hAnsi="Times New Roman"/>
          <w:b w:val="0"/>
          <w:i w:val="0"/>
        </w:rPr>
        <w:t>The de novo study enumerates a 38-member constrained library around non-covalent Mpro chemotypes (amide-linked biaryl cores with hydrogen-bonding caps sized for the S1'/S2 subpockets), docks every member under the validated protocol, ranks by affinity and ligand efficiency, and measures chemical distance to the screened drugs by Tanimoto similarity of Morgan fingerprints. Novelty of the winner is then verified live against PubChem: exact-structure identity (fastidentity endpoint) plus 2D similarity neighborhoods at 0.85 and 0.95 thresholds. During verification we caught and corrected a pipeline artifact - the smiles/cids endpoint can return an invalid CID 0 record for absent structures - and the corrected record, not the artifact, is what this paper reports.</w:t>
      </w:r>
    </w:p>
    <w:p>
      <w:pPr>
        <w:pStyle w:val="Heading2"/>
      </w:pPr>
      <w:r>
        <w:rPr>
          <w:rFonts w:ascii="Times New Roman" w:hAnsi="Times New Roman"/>
          <w:color w:val="1F4E9C"/>
        </w:rPr>
        <w:t>2.9 Protocol Specifics and Box Geometry</w:t>
      </w:r>
    </w:p>
    <w:p>
      <w:r>
        <w:rPr>
          <w:rFonts w:ascii="Times New Roman" w:hAnsi="Times New Roman"/>
          <w:b w:val="0"/>
          <w:i w:val="0"/>
        </w:rPr>
        <w:t>The search box is a 20 A cube centered on the X7V centroid, placing the catalytic dyad roughly at the box center with all four subpockets inside. Exhaustiveness 16 (validation) and 8 (screening) trade sampling depth against throughput as derived in Appendix Z.2; nine and five output poses respectively. All Vina runs used the default weight set - no re-fitted scoring, because the benchmark's meaning depends on the engine being the public one. Receptor preparation kept the deposited protonation; the catalytic Cys145 was modeled in its reduced form, consistent with the non-covalent complex. Ligand stereochemistry came from the resolved isomeric SMILES, never from name-only matching.</w:t>
      </w:r>
    </w:p>
    <w:tbl>
      <w:tblPr>
        <w:tblStyle w:val="TableGrid"/>
        <w:tblW w:type="auto" w:w="0"/>
        <w:tblLook w:firstColumn="1" w:firstRow="1" w:lastColumn="0" w:lastRow="0" w:noHBand="0" w:noVBand="1" w:val="04A0"/>
      </w:tblPr>
      <w:tblGrid>
        <w:gridCol w:w="4536"/>
        <w:gridCol w:w="4536"/>
      </w:tblGrid>
      <w:tr>
        <w:tc>
          <w:tcPr>
            <w:tcW w:type="dxa" w:w="4536"/>
            <w:shd w:val="clear" w:fill="DCE6F1"/>
          </w:tcPr>
          <w:p>
            <w:r>
              <w:rPr>
                <w:rFonts w:ascii="Times New Roman" w:hAnsi="Times New Roman"/>
                <w:b/>
                <w:sz w:val="19"/>
              </w:rPr>
              <w:t>parameter</w:t>
            </w:r>
          </w:p>
        </w:tc>
        <w:tc>
          <w:tcPr>
            <w:tcW w:type="dxa" w:w="4536"/>
            <w:shd w:val="clear" w:fill="DCE6F1"/>
          </w:tcPr>
          <w:p>
            <w:r>
              <w:rPr>
                <w:rFonts w:ascii="Times New Roman" w:hAnsi="Times New Roman"/>
                <w:b/>
                <w:sz w:val="19"/>
              </w:rPr>
              <w:t>value</w:t>
            </w:r>
          </w:p>
        </w:tc>
      </w:tr>
      <w:tr>
        <w:tc>
          <w:tcPr>
            <w:tcW w:type="dxa" w:w="4536"/>
          </w:tcPr>
          <w:p>
            <w:r>
              <w:rPr>
                <w:rFonts w:ascii="Times New Roman" w:hAnsi="Times New Roman"/>
                <w:sz w:val="19"/>
              </w:rPr>
              <w:t>receptor</w:t>
            </w:r>
          </w:p>
        </w:tc>
        <w:tc>
          <w:tcPr>
            <w:tcW w:type="dxa" w:w="4536"/>
          </w:tcPr>
          <w:p>
            <w:r>
              <w:rPr>
                <w:rFonts w:ascii="Times New Roman" w:hAnsi="Times New Roman"/>
                <w:sz w:val="19"/>
              </w:rPr>
              <w:t>7KX5 chain A, 2367 atoms</w:t>
            </w:r>
          </w:p>
        </w:tc>
      </w:tr>
      <w:tr>
        <w:tc>
          <w:tcPr>
            <w:tcW w:type="dxa" w:w="4536"/>
          </w:tcPr>
          <w:p>
            <w:r>
              <w:rPr>
                <w:rFonts w:ascii="Times New Roman" w:hAnsi="Times New Roman"/>
                <w:sz w:val="19"/>
              </w:rPr>
              <w:t>box</w:t>
            </w:r>
          </w:p>
        </w:tc>
        <w:tc>
          <w:tcPr>
            <w:tcW w:type="dxa" w:w="4536"/>
          </w:tcPr>
          <w:p>
            <w:r>
              <w:rPr>
                <w:rFonts w:ascii="Times New Roman" w:hAnsi="Times New Roman"/>
                <w:sz w:val="19"/>
              </w:rPr>
              <w:t>20 x 20 x 20 A on ligand centroid</w:t>
            </w:r>
          </w:p>
        </w:tc>
      </w:tr>
      <w:tr>
        <w:tc>
          <w:tcPr>
            <w:tcW w:type="dxa" w:w="4536"/>
          </w:tcPr>
          <w:p>
            <w:r>
              <w:rPr>
                <w:rFonts w:ascii="Times New Roman" w:hAnsi="Times New Roman"/>
                <w:sz w:val="19"/>
              </w:rPr>
              <w:t>exhaustiveness (validation / screen)</w:t>
            </w:r>
          </w:p>
        </w:tc>
        <w:tc>
          <w:tcPr>
            <w:tcW w:type="dxa" w:w="4536"/>
          </w:tcPr>
          <w:p>
            <w:r>
              <w:rPr>
                <w:rFonts w:ascii="Times New Roman" w:hAnsi="Times New Roman"/>
                <w:sz w:val="19"/>
              </w:rPr>
              <w:t>16 / 8</w:t>
            </w:r>
          </w:p>
        </w:tc>
      </w:tr>
      <w:tr>
        <w:tc>
          <w:tcPr>
            <w:tcW w:type="dxa" w:w="4536"/>
          </w:tcPr>
          <w:p>
            <w:r>
              <w:rPr>
                <w:rFonts w:ascii="Times New Roman" w:hAnsi="Times New Roman"/>
                <w:sz w:val="19"/>
              </w:rPr>
              <w:t>poses (validation / screen)</w:t>
            </w:r>
          </w:p>
        </w:tc>
        <w:tc>
          <w:tcPr>
            <w:tcW w:type="dxa" w:w="4536"/>
          </w:tcPr>
          <w:p>
            <w:r>
              <w:rPr>
                <w:rFonts w:ascii="Times New Roman" w:hAnsi="Times New Roman"/>
                <w:sz w:val="19"/>
              </w:rPr>
              <w:t>9 / 5</w:t>
            </w:r>
          </w:p>
        </w:tc>
      </w:tr>
      <w:tr>
        <w:tc>
          <w:tcPr>
            <w:tcW w:type="dxa" w:w="4536"/>
          </w:tcPr>
          <w:p>
            <w:r>
              <w:rPr>
                <w:rFonts w:ascii="Times New Roman" w:hAnsi="Times New Roman"/>
                <w:sz w:val="19"/>
              </w:rPr>
              <w:t>scoring weights</w:t>
            </w:r>
          </w:p>
        </w:tc>
        <w:tc>
          <w:tcPr>
            <w:tcW w:type="dxa" w:w="4536"/>
          </w:tcPr>
          <w:p>
            <w:r>
              <w:rPr>
                <w:rFonts w:ascii="Times New Roman" w:hAnsi="Times New Roman"/>
                <w:sz w:val="19"/>
              </w:rPr>
              <w:t>Vina 1.2 defaults</w:t>
            </w:r>
          </w:p>
        </w:tc>
      </w:tr>
      <w:tr>
        <w:tc>
          <w:tcPr>
            <w:tcW w:type="dxa" w:w="4536"/>
          </w:tcPr>
          <w:p>
            <w:r>
              <w:rPr>
                <w:rFonts w:ascii="Times New Roman" w:hAnsi="Times New Roman"/>
                <w:sz w:val="19"/>
              </w:rPr>
              <w:t>Cys145 state</w:t>
            </w:r>
          </w:p>
        </w:tc>
        <w:tc>
          <w:tcPr>
            <w:tcW w:type="dxa" w:w="4536"/>
          </w:tcPr>
          <w:p>
            <w:r>
              <w:rPr>
                <w:rFonts w:ascii="Times New Roman" w:hAnsi="Times New Roman"/>
                <w:sz w:val="19"/>
              </w:rPr>
              <w:t>reduced</w:t>
            </w:r>
          </w:p>
        </w:tc>
      </w:tr>
      <w:tr>
        <w:tc>
          <w:tcPr>
            <w:tcW w:type="dxa" w:w="4536"/>
          </w:tcPr>
          <w:p>
            <w:r>
              <w:rPr>
                <w:rFonts w:ascii="Times New Roman" w:hAnsi="Times New Roman"/>
                <w:sz w:val="19"/>
              </w:rPr>
              <w:t>ligand geometry source</w:t>
            </w:r>
          </w:p>
        </w:tc>
        <w:tc>
          <w:tcPr>
            <w:tcW w:type="dxa" w:w="4536"/>
          </w:tcPr>
          <w:p>
            <w:r>
              <w:rPr>
                <w:rFonts w:ascii="Times New Roman" w:hAnsi="Times New Roman"/>
                <w:sz w:val="19"/>
              </w:rPr>
              <w:t>isomeric SMILES -&gt; ETKDGv3 -&gt; MMFF94</w:t>
            </w:r>
          </w:p>
        </w:tc>
      </w:tr>
    </w:tbl>
    <w:p>
      <w:pPr>
        <w:pStyle w:val="Heading1"/>
        <w:pBdr>
          <w:bottom w:val="single" w:sz="12" w:space="4" w:color="1F4E9C"/>
        </w:pBdr>
      </w:pPr>
      <w:r>
        <w:rPr>
          <w:rFonts w:ascii="Times New Roman" w:hAnsi="Times New Roman"/>
          <w:color w:val="1F4E9C"/>
        </w:rPr>
        <w:t>3. Results</w:t>
      </w:r>
    </w:p>
    <w:p>
      <w:pPr>
        <w:pStyle w:val="Heading2"/>
      </w:pPr>
      <w:r>
        <w:rPr>
          <w:rFonts w:ascii="Times New Roman" w:hAnsi="Times New Roman"/>
          <w:color w:val="1F4E9C"/>
        </w:rPr>
        <w:t>3.1 Protocol validation: redocking</w:t>
      </w:r>
    </w:p>
    <w:p>
      <w:r>
        <w:rPr>
          <w:rFonts w:ascii="Times New Roman" w:hAnsi="Times New Roman"/>
          <w:b w:val="0"/>
          <w:i w:val="0"/>
        </w:rPr>
        <w:t>The engine placed JUN8-76-3A back into the Mpro pocket with a heavy-atom RMSD of 0.97 A (gate: &lt; 2.0 A) and a best predicted affinity of -9.32 kcal/mol. Figure 1 overlays the crystal and docked poses after principal-axis alignment: the biphenyl and furoyl groups occupy the same subpockets, and the per-atom scatter hugs the diagonal. The protocol is validated on this target, and every subsequent claim inherits that calibration.</w:t>
      </w:r>
    </w:p>
    <w:p>
      <w:pPr>
        <w:jc w:val="center"/>
      </w:pPr>
      <w:r>
        <w:drawing>
          <wp:inline xmlns:a="http://schemas.openxmlformats.org/drawingml/2006/main" xmlns:pic="http://schemas.openxmlformats.org/drawingml/2006/picture">
            <wp:extent cx="5486400" cy="2438400"/>
            <wp:docPr id="1" name="Picture 1"/>
            <wp:cNvGraphicFramePr>
              <a:graphicFrameLocks noChangeAspect="1"/>
            </wp:cNvGraphicFramePr>
            <a:graphic>
              <a:graphicData uri="http://schemas.openxmlformats.org/drawingml/2006/picture">
                <pic:pic>
                  <pic:nvPicPr>
                    <pic:cNvPr id="0" name="redock_overlay.png"/>
                    <pic:cNvPicPr/>
                  </pic:nvPicPr>
                  <pic:blipFill>
                    <a:blip r:embed="rId9"/>
                    <a:stretch>
                      <a:fillRect/>
                    </a:stretch>
                  </pic:blipFill>
                  <pic:spPr>
                    <a:xfrm>
                      <a:off x="0" y="0"/>
                      <a:ext cx="5486400" cy="2438400"/>
                    </a:xfrm>
                    <a:prstGeom prst="rect"/>
                  </pic:spPr>
                </pic:pic>
              </a:graphicData>
            </a:graphic>
          </wp:inline>
        </w:drawing>
      </w:r>
    </w:p>
    <w:p>
      <w:pPr>
        <w:jc w:val="center"/>
      </w:pPr>
      <w:r>
        <w:rPr>
          <w:rFonts w:ascii="Times New Roman" w:hAnsi="Times New Roman"/>
          <w:b w:val="0"/>
          <w:i/>
        </w:rPr>
        <w:t>Figure 1. Redocking validation: crystal vs docked pose of JUN8-76-3A in Mpro (7KX5).</w:t>
      </w:r>
    </w:p>
    <w:p>
      <w:r>
        <w:rPr>
          <w:rFonts w:ascii="Times New Roman" w:hAnsi="Times New Roman"/>
          <w:b w:val="0"/>
          <w:i w:val="0"/>
        </w:rPr>
        <w:t>Three preregistered supporting audits - transfer of the validated protocol to a second structure and chemotype, rank transfer across receptor structures, and a gated hydration-feature test - are preserved in full as Appendices AE, AF and AG. Their verdicts are unchanged and feed the Discussion; the main text now keeps the pillars only: the validated protocol and the benchmark built on it, the honest negatives, and the candidate.</w:t>
      </w:r>
    </w:p>
    <w:p>
      <w:pPr>
        <w:pStyle w:val="Heading2"/>
      </w:pPr>
      <w:r>
        <w:rPr>
          <w:rFonts w:ascii="Times New Roman" w:hAnsi="Times New Roman"/>
          <w:color w:val="1F4E9C"/>
        </w:rPr>
        <w:t>3.1b Covalent docking audit (bounded preregistration): a runnable engine and a plain negative</w:t>
      </w:r>
    </w:p>
    <w:p>
      <w:r>
        <w:rPr>
          <w:rFonts w:ascii="Times New Roman" w:hAnsi="Times New Roman"/>
          <w:b w:val="0"/>
          <w:i w:val="0"/>
        </w:rPr>
        <w:t>The pipeline above is non-covalent, and the pocket's best-known ligands act by bonding the catalytic cysteine - so a fair question is whether this lane can score such compounds at all. Before any covalent run we locked a bounded branch (docs/PREREG_COVALENT_BOUNDED_20260928.md): first establish whether a reactive-capable engine can run here at all, and if it can, audit it by self-redocking the ligands of two crystallographic covalent complexes of the same protease (7VH8 at 1.59 A and 7C6S at 1.6 A; identities verified against RCSB), three fixed seeds each, with the decision rule fixed in advance: best-energy-pose heavy-atom RMSD at or below 2.0 A against the crystallographic ligand in at least two of three seeds counts as a successful self-redock. The branch was explicitly bounded: no activity ranking, no cross-structure docking, and a failed redock reported as a plain negative.</w:t>
      </w:r>
    </w:p>
    <w:p>
      <w:r>
        <w:rPr>
          <w:rFonts w:ascii="Times New Roman" w:hAnsi="Times New Roman"/>
          <w:b w:val="0"/>
          <w:i w:val="0"/>
        </w:rPr>
        <w:t>Engine acquisition succeeded inside the locked budget. The prebuilt AutoDock-GPU binary starts but cannot dock on this machine (no OpenCL platform), so autodock4 4.2.7.x and autogrid4 4.2.8 were compiled from the official project sources (provenance and binary checksums in docs/COVALENT_RUNLOG_20260928.md) and wired for classic reactive docking with a flexible Cys145 sidechain: per complex, three seeds of ten Lamarckian runs at one million evaluations each, in a 24 A box over the pocket.</w:t>
      </w:r>
    </w:p>
    <w:p>
      <w:r>
        <w:rPr>
          <w:rFonts w:ascii="Times New Roman" w:hAnsi="Times New Roman"/>
          <w:b w:val="0"/>
          <w:i w:val="0"/>
        </w:rPr>
        <w:t>Outcome, reported as measured (results/covalent_redock.json). For 7VH8 the best-pose RMSDs across the three seeds are 14.79, 21.94 and 22.20 A; for 7C6S they are 10.83, 6.93 and 9.38 A. No seed of either complex reaches the locked 2.0 A criterion: self-redock FAILS for both, and the covalent branch is NOT SUPPORTED on this audit. Atom matching for the RMSD was coordinate-free (docked serial to ligand SMILES to crystal adduct by maximum common substructure, symmetry-corrected) and covered every heavy atom (35/35 and 37/37), so the negative is not a matching artifact.</w:t>
      </w:r>
    </w:p>
    <w:p>
      <w:r>
        <w:rPr>
          <w:rFonts w:ascii="Times New Roman" w:hAnsi="Times New Roman"/>
          <w:b w:val="0"/>
          <w:i w:val="0"/>
        </w:rPr>
        <w:t>One observation, recorded post-hoc and explicitly not used to move any threshold: the locked input generator wrote the pair minima between the flexible-sidechain marker atoms and the ligand as sums of atomic radii (8.0, 7.5 and 7.2 A) instead of the engine's arithmetic-mean combining rule. The engine flagged every one of those lines at parse time as outside its 0.9-6.0 A sanity range, and the 7VH8 docked energies are physically absurd (about +4e6 kcal/mol). Part of the measured failure is therefore attributable to the locked parameterization rather than to the reactive-docking method itself. Under the preregistration rule the runs stand as the locked outcome and the negative is reported as measured; a corrected-parameterization rerun would be a new experiment needing its own dated preregistration. The honest summary: the lane can run a reactive engine, but it does not today have a validated covalent scoring path, and the non-covalent numbers above are the whole of the supported result.</w:t>
      </w:r>
    </w:p>
    <w:p>
      <w:r>
        <w:rPr>
          <w:rFonts w:ascii="Times New Roman" w:hAnsi="Times New Roman"/>
          <w:b w:val="0"/>
          <w:i w:val="0"/>
        </w:rPr>
        <w:t>A corrected-parameterization branch was then executed under its own dated preregistration (docs/PREREG_COVALENT_CORRECTED_20260928.md), locked before any outcome: identical protocol, seeds, analysis code and decision rule, with only the marker-atom pair minima rebuilt under the engine's arithmetic-mean combining rule. The engine parsed the corrected table without a single sanity warning, and the outcome is the locked outcome to the last digit: every docked coordinate and every reported energy is identical across all six runs, giving corrected best-pose RMSDs of 14.79, 21.94 and 22.20 A for 7VH8 and 10.83, 6.93 and 9.38 A for 7C6S, again 0 of 3 seeds passing in each complex (results/covalent_redock_corrected.json). Two conclusions follow. The corrected branch is itself a plain negative and leaves the verdict above untouched. And the post-hoc suspicion recorded above is empirically falsified: doubling or halving the marker-atom pair minima moved no coordinate and no energy anywhere in the six runs, so those terms played no measurable scored role in this configuration, and the locked failure cannot be attributed to the radius-sum parameterization error. What drives the failure inside the reactive setup remains unidentified; no covalent capability is claimed on either branch.</w:t>
      </w:r>
    </w:p>
    <w:p>
      <w:pPr>
        <w:pStyle w:val="Heading2"/>
      </w:pPr>
      <w:r>
        <w:rPr>
          <w:rFonts w:ascii="Times New Roman" w:hAnsi="Times New Roman"/>
          <w:color w:val="1F4E9C"/>
        </w:rPr>
        <w:t>3.1c Constraint-guided placement audit: verified constraint machinery, an inconclusive first execution</w:t>
      </w:r>
    </w:p>
    <w:p>
      <w:r>
        <w:rPr>
          <w:rFonts w:ascii="Times New Roman" w:hAnsi="Times New Roman"/>
          <w:b w:val="0"/>
          <w:i w:val="0"/>
        </w:rPr>
        <w:t>A second route to the same covalent question was locked before any outcome (docs/PREREG_CONSTRAINT_GUIDED_12B_20260928.md): add one fixed Gaussian well, centred on the crystallographic attachment point, to a single atom-type affinity map, hold every other element of the protocol constant, and ask whether the constrained search then reproduces the crystallographic pose under the same decision rule as the audits above (best-energy pose, 2.0 A, at least two of three fixed seeds, on the same two complexes). The constraint machinery passed all three locked integrity gates before any outcome was read: score-only evaluation recovered the added well exactly (observed energy shift -2.6014 kcal/mol against -2.6014 expected for 7VH8; -2.6863 against -2.6863 for 7C6S), a byte-level audit confirmed that only the intended map file differed from engine-generated output, and the pose matcher mapped each crystallographic adduct onto itself at 0.0 A.</w:t>
      </w:r>
    </w:p>
    <w:p>
      <w:r>
        <w:rPr>
          <w:rFonts w:ascii="Times New Roman" w:hAnsi="Times New Roman"/>
          <w:b w:val="0"/>
          <w:i w:val="0"/>
        </w:rPr>
        <w:t>The locked engine for this branch, the Vina 1.2.7 Python bindings, could not read grid maps in this environment: the map loader fails to discover existing map files, the map writer crashes, and no compatible earlier build is installable. Under a dated amendment preregistration committed before any arm executed (docs/PREREG_CONSTRAINT_GUIDED_12B_AMENDMENT_ENGINE_20260928.md), the identical constraint, maps, seeds and decision rule were therefore run on the autodock4 4.2.7.x engine compiled for the audit of Section 3.1b. This is an engine substitution from the original lock and is disclosed as such; every other locked element carried over unchanged.</w:t>
      </w:r>
    </w:p>
    <w:p>
      <w:r>
        <w:rPr>
          <w:rFonts w:ascii="Times New Roman" w:hAnsi="Times New Roman"/>
          <w:b w:val="0"/>
          <w:i w:val="0"/>
        </w:rPr>
        <w:t>Outcome, reported as measured (results/constraint_guided_12b.json): under the locked criterion the result is NOT SUPPORTED, with best-pose RMSDs of 22.31, 22.55 and 15.15 A for 7VH8 and 7.59, 8.61 and 7.05 A for 7C6S - zero of three seeds passing in either complex. Two measured facts show that this execution did not actually test the constraint question. In all six constrained runs, every reported model energy and the best-pose coordinates are identical at full precision to the control runs that lacked the well, so the verified bias had no measurable effect on the search; and the 7VH8 docked energies are physically implausible (about +4.1e6 kcal/mol), the same signature as the mis-parameterized reactive runs of Section 3.1b. This execution is therefore recorded as machinery-limited: it neither supports nor falsifies constraint-guided placement, and it does not count toward exhaustion of the question. The adjudicated next test is the originally locked Vina engine built from source; only if that build also fails mechanically is the question declared machinery-exhausted, at which point the study pivots under a new dated preregistration.</w:t>
      </w:r>
    </w:p>
    <w:p>
      <w:pPr>
        <w:pStyle w:val="Heading2"/>
      </w:pPr>
      <w:r>
        <w:rPr>
          <w:rFonts w:ascii="Times New Roman" w:hAnsi="Times New Roman"/>
          <w:color w:val="1F4E9C"/>
        </w:rPr>
        <w:t>3.1d Constraint-guided placement audit, continued: the locked engine recovered, the question machinery-exhausted</w:t>
      </w:r>
    </w:p>
    <w:p>
      <w:r>
        <w:rPr>
          <w:rFonts w:ascii="Times New Roman" w:hAnsi="Times New Roman"/>
          <w:b w:val="0"/>
          <w:i w:val="0"/>
        </w:rPr>
        <w:t>The originally locked engine was then recovered: AutoDock Vina 1.2.7 was built from source in this environment (tag v1.2.7, static link), and the original 12B lock was executed with the intended engine for the first time. The build also resolved the map-loading blocker at its root: with the vina scoring function the map loader discovers grid files by X-Score atom-type names rather than AD4 type names, so the previously suspected packaging defect was no defect at all - the from-source build behaves identically. Byte-identical map views under the expected names restored map loading without altering any locked map value, and two of the three locked integrity gates passed: the byte audit confirmed that only the intended map differs, and the pose matcher again self-mapped at 0.0 A.</w:t>
      </w:r>
    </w:p>
    <w:p>
      <w:r>
        <w:rPr>
          <w:rFonts w:ascii="Times New Roman" w:hAnsi="Times New Roman"/>
          <w:b w:val="0"/>
          <w:i w:val="0"/>
        </w:rPr>
        <w:t>The lock's first integrity gate, however, rested on a false premise, discovered before any docking arm ran: it presumed that Vina-computed grids and the locked autogrid AD4-potential maps would score a fixed pose equivalently, and they differ by 6,374.5 and 5,336.1 kcal/mol on the two complexes against a locked tolerance of 0.05 - different potential sets, not a constraint failure. Under a second dated amendment committed before any arm executed (docs/PREREG_CONSTRAINT_GUIDED_12B_AMENDMENT_G1_20260928.md), that gate was replaced with a well-recovery gate of the same form the substituted engine had passed: score a probe pose anchored with its warhead exactly on the crystallographic attachment point against the unmodified and biased map sets, requiring the measured shift to match the map-implied shift within 0.05 kcal/mol, the tolerance locked before the gate was run.</w:t>
      </w:r>
    </w:p>
    <w:p>
      <w:r>
        <w:rPr>
          <w:rFonts w:ascii="Times New Roman" w:hAnsi="Times New Roman"/>
          <w:b w:val="0"/>
          <w:i w:val="0"/>
        </w:rPr>
        <w:t>The corrected gate fails on both complexes: measured shifts of -1.704 and -1.635 kcal/mol against map-implied shifts of -2.601 and -2.686 kcal/mol (absolute errors 0.897 and 1.051 against the locked 0.05 tolerance; the engine scorings are exactly deterministic and the byte audit and self-map checks passed). The measured shift is present and correctly signed but does not match the locked expectation, so delivery of the well into this engine's grid evaluation cannot be verified, and no docking arm was run. With four machinery limitations now documented in sequence - the map-discovery blocker, the substituted engine's undelivered constraint (Section 3.1c), the original lock's false-premise gate, and the failed well-recovery gate - the constraint-guided question is declared machinery-exhausted in this environment: it cannot be tested here under locked, verifiable conditions. Per the adjudicated pivot order the study turns to the remaining preregistered route, a native covalent engine, under a new dated preregistration.</w:t>
      </w:r>
    </w:p>
    <w:p>
      <w:pPr>
        <w:pStyle w:val="Heading2"/>
      </w:pPr>
      <w:r>
        <w:rPr>
          <w:rFonts w:ascii="Times New Roman" w:hAnsi="Times New Roman"/>
          <w:color w:val="1F4E9C"/>
        </w:rPr>
        <w:t>3.2 Screening campaign and an honest negative</w:t>
      </w:r>
    </w:p>
    <w:p>
      <w:r>
        <w:rPr>
          <w:rFonts w:ascii="Times New Roman" w:hAnsi="Times New Roman"/>
          <w:b w:val="0"/>
          <w:i w:val="0"/>
        </w:rPr>
        <w:t>All 22 resolved compounds docked successfully. Table 1 reports the full ranking with literature labels; Figure 2 shows the affinity ranking by class. The headline is a negative, reported as measured: raw Vina affinity ranks actives above inactives at AUROC 0.339, below the 0.5 chance line, and actives occupy 3 of the top eight positions against a chance expectation of 3.7 (hypergeometric p = 0.900). On this label set, plain docking does not enrich. This is not a rare outcome in the field - rigid-receptor empirical scoring is known to struggle on protease pockets with water-mediated recognition - but it is a rarely published one, and it is the control against which the learned rescorers must be judged.</w:t>
      </w:r>
    </w:p>
    <w:p>
      <w:r>
        <w:rPr>
          <w:rFonts w:ascii="Times New Roman" w:hAnsi="Times New Roman"/>
          <w:b w:val="0"/>
          <w:i/>
        </w:rPr>
        <w:t>Table 1. Full campaign ranking (Vina affinity, kcal/mol; label from literature).</w:t>
      </w:r>
    </w:p>
    <w:tbl>
      <w:tblPr>
        <w:tblStyle w:val="TableGrid"/>
        <w:tblW w:type="auto" w:w="0"/>
        <w:tblLook w:firstColumn="1" w:firstRow="1" w:lastColumn="0" w:lastRow="0" w:noHBand="0" w:noVBand="1" w:val="04A0"/>
      </w:tblPr>
      <w:tblGrid>
        <w:gridCol w:w="3024"/>
        <w:gridCol w:w="3024"/>
        <w:gridCol w:w="3024"/>
      </w:tblGrid>
      <w:tr>
        <w:tc>
          <w:tcPr>
            <w:tcW w:type="dxa" w:w="3024"/>
            <w:shd w:val="clear" w:fill="DCE6F1"/>
          </w:tcPr>
          <w:p>
            <w:r>
              <w:rPr>
                <w:rFonts w:ascii="Times New Roman" w:hAnsi="Times New Roman"/>
                <w:b/>
                <w:sz w:val="19"/>
              </w:rPr>
              <w:t>compound</w:t>
            </w:r>
          </w:p>
        </w:tc>
        <w:tc>
          <w:tcPr>
            <w:tcW w:type="dxa" w:w="3024"/>
            <w:shd w:val="clear" w:fill="DCE6F1"/>
          </w:tcPr>
          <w:p>
            <w:r>
              <w:rPr>
                <w:rFonts w:ascii="Times New Roman" w:hAnsi="Times New Roman"/>
                <w:b/>
                <w:sz w:val="19"/>
              </w:rPr>
              <w:t>affinity (kcal/mol)</w:t>
            </w:r>
          </w:p>
        </w:tc>
        <w:tc>
          <w:tcPr>
            <w:tcW w:type="dxa" w:w="3024"/>
            <w:shd w:val="clear" w:fill="DCE6F1"/>
          </w:tcPr>
          <w:p>
            <w:r>
              <w:rPr>
                <w:rFonts w:ascii="Times New Roman" w:hAnsi="Times New Roman"/>
                <w:b/>
                <w:sz w:val="19"/>
              </w:rPr>
              <w:t>literature label</w:t>
            </w:r>
          </w:p>
        </w:tc>
      </w:tr>
      <w:tr>
        <w:tc>
          <w:tcPr>
            <w:tcW w:type="dxa" w:w="3024"/>
          </w:tcPr>
          <w:p>
            <w:r>
              <w:rPr>
                <w:rFonts w:ascii="Times New Roman" w:hAnsi="Times New Roman"/>
                <w:sz w:val="19"/>
              </w:rPr>
              <w:t>nilotinib</w:t>
            </w:r>
          </w:p>
        </w:tc>
        <w:tc>
          <w:tcPr>
            <w:tcW w:type="dxa" w:w="3024"/>
          </w:tcPr>
          <w:p>
            <w:r>
              <w:rPr>
                <w:rFonts w:ascii="Times New Roman" w:hAnsi="Times New Roman"/>
                <w:sz w:val="19"/>
              </w:rPr>
              <w:t>-9.31</w:t>
            </w:r>
          </w:p>
        </w:tc>
        <w:tc>
          <w:tcPr>
            <w:tcW w:type="dxa" w:w="3024"/>
          </w:tcPr>
          <w:p>
            <w:r>
              <w:rPr>
                <w:rFonts w:ascii="Times New Roman" w:hAnsi="Times New Roman"/>
                <w:sz w:val="19"/>
              </w:rPr>
              <w:t>unknown</w:t>
            </w:r>
          </w:p>
        </w:tc>
      </w:tr>
      <w:tr>
        <w:tc>
          <w:tcPr>
            <w:tcW w:type="dxa" w:w="3024"/>
          </w:tcPr>
          <w:p>
            <w:r>
              <w:rPr>
                <w:rFonts w:ascii="Times New Roman" w:hAnsi="Times New Roman"/>
                <w:sz w:val="19"/>
              </w:rPr>
              <w:t>saquinavir</w:t>
            </w:r>
          </w:p>
        </w:tc>
        <w:tc>
          <w:tcPr>
            <w:tcW w:type="dxa" w:w="3024"/>
          </w:tcPr>
          <w:p>
            <w:r>
              <w:rPr>
                <w:rFonts w:ascii="Times New Roman" w:hAnsi="Times New Roman"/>
                <w:sz w:val="19"/>
              </w:rPr>
              <w:t>-9.23</w:t>
            </w:r>
          </w:p>
        </w:tc>
        <w:tc>
          <w:tcPr>
            <w:tcW w:type="dxa" w:w="3024"/>
          </w:tcPr>
          <w:p>
            <w:r>
              <w:rPr>
                <w:rFonts w:ascii="Times New Roman" w:hAnsi="Times New Roman"/>
                <w:sz w:val="19"/>
              </w:rPr>
              <w:t>inactive</w:t>
            </w:r>
          </w:p>
        </w:tc>
      </w:tr>
      <w:tr>
        <w:tc>
          <w:tcPr>
            <w:tcW w:type="dxa" w:w="3024"/>
          </w:tcPr>
          <w:p>
            <w:r>
              <w:rPr>
                <w:rFonts w:ascii="Times New Roman" w:hAnsi="Times New Roman"/>
                <w:sz w:val="19"/>
              </w:rPr>
              <w:t>masitinib</w:t>
            </w:r>
          </w:p>
        </w:tc>
        <w:tc>
          <w:tcPr>
            <w:tcW w:type="dxa" w:w="3024"/>
          </w:tcPr>
          <w:p>
            <w:r>
              <w:rPr>
                <w:rFonts w:ascii="Times New Roman" w:hAnsi="Times New Roman"/>
                <w:sz w:val="19"/>
              </w:rPr>
              <w:t>-8.77</w:t>
            </w:r>
          </w:p>
        </w:tc>
        <w:tc>
          <w:tcPr>
            <w:tcW w:type="dxa" w:w="3024"/>
          </w:tcPr>
          <w:p>
            <w:r>
              <w:rPr>
                <w:rFonts w:ascii="Times New Roman" w:hAnsi="Times New Roman"/>
                <w:sz w:val="19"/>
              </w:rPr>
              <w:t>active</w:t>
            </w:r>
          </w:p>
        </w:tc>
      </w:tr>
      <w:tr>
        <w:tc>
          <w:tcPr>
            <w:tcW w:type="dxa" w:w="3024"/>
          </w:tcPr>
          <w:p>
            <w:r>
              <w:rPr>
                <w:rFonts w:ascii="Times New Roman" w:hAnsi="Times New Roman"/>
                <w:sz w:val="19"/>
              </w:rPr>
              <w:t>nelfinavir</w:t>
            </w:r>
          </w:p>
        </w:tc>
        <w:tc>
          <w:tcPr>
            <w:tcW w:type="dxa" w:w="3024"/>
          </w:tcPr>
          <w:p>
            <w:r>
              <w:rPr>
                <w:rFonts w:ascii="Times New Roman" w:hAnsi="Times New Roman"/>
                <w:sz w:val="19"/>
              </w:rPr>
              <w:t>-8.75</w:t>
            </w:r>
          </w:p>
        </w:tc>
        <w:tc>
          <w:tcPr>
            <w:tcW w:type="dxa" w:w="3024"/>
          </w:tcPr>
          <w:p>
            <w:r>
              <w:rPr>
                <w:rFonts w:ascii="Times New Roman" w:hAnsi="Times New Roman"/>
                <w:sz w:val="19"/>
              </w:rPr>
              <w:t>inactive</w:t>
            </w:r>
          </w:p>
        </w:tc>
      </w:tr>
      <w:tr>
        <w:tc>
          <w:tcPr>
            <w:tcW w:type="dxa" w:w="3024"/>
          </w:tcPr>
          <w:p>
            <w:r>
              <w:rPr>
                <w:rFonts w:ascii="Times New Roman" w:hAnsi="Times New Roman"/>
                <w:sz w:val="19"/>
              </w:rPr>
              <w:t>lopinavir</w:t>
            </w:r>
          </w:p>
        </w:tc>
        <w:tc>
          <w:tcPr>
            <w:tcW w:type="dxa" w:w="3024"/>
          </w:tcPr>
          <w:p>
            <w:r>
              <w:rPr>
                <w:rFonts w:ascii="Times New Roman" w:hAnsi="Times New Roman"/>
                <w:sz w:val="19"/>
              </w:rPr>
              <w:t>-8.72</w:t>
            </w:r>
          </w:p>
        </w:tc>
        <w:tc>
          <w:tcPr>
            <w:tcW w:type="dxa" w:w="3024"/>
          </w:tcPr>
          <w:p>
            <w:r>
              <w:rPr>
                <w:rFonts w:ascii="Times New Roman" w:hAnsi="Times New Roman"/>
                <w:sz w:val="19"/>
              </w:rPr>
              <w:t>inactive</w:t>
            </w:r>
          </w:p>
        </w:tc>
      </w:tr>
      <w:tr>
        <w:tc>
          <w:tcPr>
            <w:tcW w:type="dxa" w:w="3024"/>
          </w:tcPr>
          <w:p>
            <w:r>
              <w:rPr>
                <w:rFonts w:ascii="Times New Roman" w:hAnsi="Times New Roman"/>
                <w:sz w:val="19"/>
              </w:rPr>
              <w:t>nafamostat</w:t>
            </w:r>
          </w:p>
        </w:tc>
        <w:tc>
          <w:tcPr>
            <w:tcW w:type="dxa" w:w="3024"/>
          </w:tcPr>
          <w:p>
            <w:r>
              <w:rPr>
                <w:rFonts w:ascii="Times New Roman" w:hAnsi="Times New Roman"/>
                <w:sz w:val="19"/>
              </w:rPr>
              <w:t>-8.25</w:t>
            </w:r>
          </w:p>
        </w:tc>
        <w:tc>
          <w:tcPr>
            <w:tcW w:type="dxa" w:w="3024"/>
          </w:tcPr>
          <w:p>
            <w:r>
              <w:rPr>
                <w:rFonts w:ascii="Times New Roman" w:hAnsi="Times New Roman"/>
                <w:sz w:val="19"/>
              </w:rPr>
              <w:t>unknown</w:t>
            </w:r>
          </w:p>
        </w:tc>
      </w:tr>
      <w:tr>
        <w:tc>
          <w:tcPr>
            <w:tcW w:type="dxa" w:w="3024"/>
          </w:tcPr>
          <w:p>
            <w:r>
              <w:rPr>
                <w:rFonts w:ascii="Times New Roman" w:hAnsi="Times New Roman"/>
                <w:sz w:val="19"/>
              </w:rPr>
              <w:t>darunavir</w:t>
            </w:r>
          </w:p>
        </w:tc>
        <w:tc>
          <w:tcPr>
            <w:tcW w:type="dxa" w:w="3024"/>
          </w:tcPr>
          <w:p>
            <w:r>
              <w:rPr>
                <w:rFonts w:ascii="Times New Roman" w:hAnsi="Times New Roman"/>
                <w:sz w:val="19"/>
              </w:rPr>
              <w:t>-8.19</w:t>
            </w:r>
          </w:p>
        </w:tc>
        <w:tc>
          <w:tcPr>
            <w:tcW w:type="dxa" w:w="3024"/>
          </w:tcPr>
          <w:p>
            <w:r>
              <w:rPr>
                <w:rFonts w:ascii="Times New Roman" w:hAnsi="Times New Roman"/>
                <w:sz w:val="19"/>
              </w:rPr>
              <w:t>inactive</w:t>
            </w:r>
          </w:p>
        </w:tc>
      </w:tr>
      <w:tr>
        <w:tc>
          <w:tcPr>
            <w:tcW w:type="dxa" w:w="3024"/>
          </w:tcPr>
          <w:p>
            <w:r>
              <w:rPr>
                <w:rFonts w:ascii="Times New Roman" w:hAnsi="Times New Roman"/>
                <w:sz w:val="19"/>
              </w:rPr>
              <w:t>tideglusib</w:t>
            </w:r>
          </w:p>
        </w:tc>
        <w:tc>
          <w:tcPr>
            <w:tcW w:type="dxa" w:w="3024"/>
          </w:tcPr>
          <w:p>
            <w:r>
              <w:rPr>
                <w:rFonts w:ascii="Times New Roman" w:hAnsi="Times New Roman"/>
                <w:sz w:val="19"/>
              </w:rPr>
              <w:t>-8.18</w:t>
            </w:r>
          </w:p>
        </w:tc>
        <w:tc>
          <w:tcPr>
            <w:tcW w:type="dxa" w:w="3024"/>
          </w:tcPr>
          <w:p>
            <w:r>
              <w:rPr>
                <w:rFonts w:ascii="Times New Roman" w:hAnsi="Times New Roman"/>
                <w:sz w:val="19"/>
              </w:rPr>
              <w:t>active</w:t>
            </w:r>
          </w:p>
        </w:tc>
      </w:tr>
      <w:tr>
        <w:tc>
          <w:tcPr>
            <w:tcW w:type="dxa" w:w="3024"/>
          </w:tcPr>
          <w:p>
            <w:r>
              <w:rPr>
                <w:rFonts w:ascii="Times New Roman" w:hAnsi="Times New Roman"/>
                <w:sz w:val="19"/>
              </w:rPr>
              <w:t>indinavir</w:t>
            </w:r>
          </w:p>
        </w:tc>
        <w:tc>
          <w:tcPr>
            <w:tcW w:type="dxa" w:w="3024"/>
          </w:tcPr>
          <w:p>
            <w:r>
              <w:rPr>
                <w:rFonts w:ascii="Times New Roman" w:hAnsi="Times New Roman"/>
                <w:sz w:val="19"/>
              </w:rPr>
              <w:t>-8.13</w:t>
            </w:r>
          </w:p>
        </w:tc>
        <w:tc>
          <w:tcPr>
            <w:tcW w:type="dxa" w:w="3024"/>
          </w:tcPr>
          <w:p>
            <w:r>
              <w:rPr>
                <w:rFonts w:ascii="Times New Roman" w:hAnsi="Times New Roman"/>
                <w:sz w:val="19"/>
              </w:rPr>
              <w:t>inactive</w:t>
            </w:r>
          </w:p>
        </w:tc>
      </w:tr>
      <w:tr>
        <w:tc>
          <w:tcPr>
            <w:tcW w:type="dxa" w:w="3024"/>
          </w:tcPr>
          <w:p>
            <w:r>
              <w:rPr>
                <w:rFonts w:ascii="Times New Roman" w:hAnsi="Times New Roman"/>
                <w:sz w:val="19"/>
              </w:rPr>
              <w:t>nirmatrelvir</w:t>
            </w:r>
          </w:p>
        </w:tc>
        <w:tc>
          <w:tcPr>
            <w:tcW w:type="dxa" w:w="3024"/>
          </w:tcPr>
          <w:p>
            <w:r>
              <w:rPr>
                <w:rFonts w:ascii="Times New Roman" w:hAnsi="Times New Roman"/>
                <w:sz w:val="19"/>
              </w:rPr>
              <w:t>-8.03</w:t>
            </w:r>
          </w:p>
        </w:tc>
        <w:tc>
          <w:tcPr>
            <w:tcW w:type="dxa" w:w="3024"/>
          </w:tcPr>
          <w:p>
            <w:r>
              <w:rPr>
                <w:rFonts w:ascii="Times New Roman" w:hAnsi="Times New Roman"/>
                <w:sz w:val="19"/>
              </w:rPr>
              <w:t>active</w:t>
            </w:r>
          </w:p>
        </w:tc>
      </w:tr>
      <w:tr>
        <w:tc>
          <w:tcPr>
            <w:tcW w:type="dxa" w:w="3024"/>
          </w:tcPr>
          <w:p>
            <w:r>
              <w:rPr>
                <w:rFonts w:ascii="Times New Roman" w:hAnsi="Times New Roman"/>
                <w:sz w:val="19"/>
              </w:rPr>
              <w:t>boceprevir</w:t>
            </w:r>
          </w:p>
        </w:tc>
        <w:tc>
          <w:tcPr>
            <w:tcW w:type="dxa" w:w="3024"/>
          </w:tcPr>
          <w:p>
            <w:r>
              <w:rPr>
                <w:rFonts w:ascii="Times New Roman" w:hAnsi="Times New Roman"/>
                <w:sz w:val="19"/>
              </w:rPr>
              <w:t>-7.89</w:t>
            </w:r>
          </w:p>
        </w:tc>
        <w:tc>
          <w:tcPr>
            <w:tcW w:type="dxa" w:w="3024"/>
          </w:tcPr>
          <w:p>
            <w:r>
              <w:rPr>
                <w:rFonts w:ascii="Times New Roman" w:hAnsi="Times New Roman"/>
                <w:sz w:val="19"/>
              </w:rPr>
              <w:t>active</w:t>
            </w:r>
          </w:p>
        </w:tc>
      </w:tr>
      <w:tr>
        <w:tc>
          <w:tcPr>
            <w:tcW w:type="dxa" w:w="3024"/>
          </w:tcPr>
          <w:p>
            <w:r>
              <w:rPr>
                <w:rFonts w:ascii="Times New Roman" w:hAnsi="Times New Roman"/>
                <w:sz w:val="19"/>
              </w:rPr>
              <w:t>camostat</w:t>
            </w:r>
          </w:p>
        </w:tc>
        <w:tc>
          <w:tcPr>
            <w:tcW w:type="dxa" w:w="3024"/>
          </w:tcPr>
          <w:p>
            <w:r>
              <w:rPr>
                <w:rFonts w:ascii="Times New Roman" w:hAnsi="Times New Roman"/>
                <w:sz w:val="19"/>
              </w:rPr>
              <w:t>-7.85</w:t>
            </w:r>
          </w:p>
        </w:tc>
        <w:tc>
          <w:tcPr>
            <w:tcW w:type="dxa" w:w="3024"/>
          </w:tcPr>
          <w:p>
            <w:r>
              <w:rPr>
                <w:rFonts w:ascii="Times New Roman" w:hAnsi="Times New Roman"/>
                <w:sz w:val="19"/>
              </w:rPr>
              <w:t>unknown</w:t>
            </w:r>
          </w:p>
        </w:tc>
      </w:tr>
      <w:tr>
        <w:tc>
          <w:tcPr>
            <w:tcW w:type="dxa" w:w="3024"/>
          </w:tcPr>
          <w:p>
            <w:r>
              <w:rPr>
                <w:rFonts w:ascii="Times New Roman" w:hAnsi="Times New Roman"/>
                <w:sz w:val="19"/>
              </w:rPr>
              <w:t>ritonavir</w:t>
            </w:r>
          </w:p>
        </w:tc>
        <w:tc>
          <w:tcPr>
            <w:tcW w:type="dxa" w:w="3024"/>
          </w:tcPr>
          <w:p>
            <w:r>
              <w:rPr>
                <w:rFonts w:ascii="Times New Roman" w:hAnsi="Times New Roman"/>
                <w:sz w:val="19"/>
              </w:rPr>
              <w:t>-7.80</w:t>
            </w:r>
          </w:p>
        </w:tc>
        <w:tc>
          <w:tcPr>
            <w:tcW w:type="dxa" w:w="3024"/>
          </w:tcPr>
          <w:p>
            <w:r>
              <w:rPr>
                <w:rFonts w:ascii="Times New Roman" w:hAnsi="Times New Roman"/>
                <w:sz w:val="19"/>
              </w:rPr>
              <w:t>unknown</w:t>
            </w:r>
          </w:p>
        </w:tc>
      </w:tr>
      <w:tr>
        <w:tc>
          <w:tcPr>
            <w:tcW w:type="dxa" w:w="3024"/>
          </w:tcPr>
          <w:p>
            <w:r>
              <w:rPr>
                <w:rFonts w:ascii="Times New Roman" w:hAnsi="Times New Roman"/>
                <w:sz w:val="19"/>
              </w:rPr>
              <w:t>atazanavir</w:t>
            </w:r>
          </w:p>
        </w:tc>
        <w:tc>
          <w:tcPr>
            <w:tcW w:type="dxa" w:w="3024"/>
          </w:tcPr>
          <w:p>
            <w:r>
              <w:rPr>
                <w:rFonts w:ascii="Times New Roman" w:hAnsi="Times New Roman"/>
                <w:sz w:val="19"/>
              </w:rPr>
              <w:t>-7.71</w:t>
            </w:r>
          </w:p>
        </w:tc>
        <w:tc>
          <w:tcPr>
            <w:tcW w:type="dxa" w:w="3024"/>
          </w:tcPr>
          <w:p>
            <w:r>
              <w:rPr>
                <w:rFonts w:ascii="Times New Roman" w:hAnsi="Times New Roman"/>
                <w:sz w:val="19"/>
              </w:rPr>
              <w:t>inactive</w:t>
            </w:r>
          </w:p>
        </w:tc>
      </w:tr>
      <w:tr>
        <w:tc>
          <w:tcPr>
            <w:tcW w:type="dxa" w:w="3024"/>
          </w:tcPr>
          <w:p>
            <w:r>
              <w:rPr>
                <w:rFonts w:ascii="Times New Roman" w:hAnsi="Times New Roman"/>
                <w:sz w:val="19"/>
              </w:rPr>
              <w:t>telaprevir</w:t>
            </w:r>
          </w:p>
        </w:tc>
        <w:tc>
          <w:tcPr>
            <w:tcW w:type="dxa" w:w="3024"/>
          </w:tcPr>
          <w:p>
            <w:r>
              <w:rPr>
                <w:rFonts w:ascii="Times New Roman" w:hAnsi="Times New Roman"/>
                <w:sz w:val="19"/>
              </w:rPr>
              <w:t>-7.66</w:t>
            </w:r>
          </w:p>
        </w:tc>
        <w:tc>
          <w:tcPr>
            <w:tcW w:type="dxa" w:w="3024"/>
          </w:tcPr>
          <w:p>
            <w:r>
              <w:rPr>
                <w:rFonts w:ascii="Times New Roman" w:hAnsi="Times New Roman"/>
                <w:sz w:val="19"/>
              </w:rPr>
              <w:t>active</w:t>
            </w:r>
          </w:p>
        </w:tc>
      </w:tr>
      <w:tr>
        <w:tc>
          <w:tcPr>
            <w:tcW w:type="dxa" w:w="3024"/>
          </w:tcPr>
          <w:p>
            <w:r>
              <w:rPr>
                <w:rFonts w:ascii="Times New Roman" w:hAnsi="Times New Roman"/>
                <w:sz w:val="19"/>
              </w:rPr>
              <w:t>remdesivir</w:t>
            </w:r>
          </w:p>
        </w:tc>
        <w:tc>
          <w:tcPr>
            <w:tcW w:type="dxa" w:w="3024"/>
          </w:tcPr>
          <w:p>
            <w:r>
              <w:rPr>
                <w:rFonts w:ascii="Times New Roman" w:hAnsi="Times New Roman"/>
                <w:sz w:val="19"/>
              </w:rPr>
              <w:t>-7.65</w:t>
            </w:r>
          </w:p>
        </w:tc>
        <w:tc>
          <w:tcPr>
            <w:tcW w:type="dxa" w:w="3024"/>
          </w:tcPr>
          <w:p>
            <w:r>
              <w:rPr>
                <w:rFonts w:ascii="Times New Roman" w:hAnsi="Times New Roman"/>
                <w:sz w:val="19"/>
              </w:rPr>
              <w:t>unknown</w:t>
            </w:r>
          </w:p>
        </w:tc>
      </w:tr>
      <w:tr>
        <w:tc>
          <w:tcPr>
            <w:tcW w:type="dxa" w:w="3024"/>
          </w:tcPr>
          <w:p>
            <w:r>
              <w:rPr>
                <w:rFonts w:ascii="Times New Roman" w:hAnsi="Times New Roman"/>
                <w:sz w:val="19"/>
              </w:rPr>
              <w:t>molnupiravir</w:t>
            </w:r>
          </w:p>
        </w:tc>
        <w:tc>
          <w:tcPr>
            <w:tcW w:type="dxa" w:w="3024"/>
          </w:tcPr>
          <w:p>
            <w:r>
              <w:rPr>
                <w:rFonts w:ascii="Times New Roman" w:hAnsi="Times New Roman"/>
                <w:sz w:val="19"/>
              </w:rPr>
              <w:t>-7.16</w:t>
            </w:r>
          </w:p>
        </w:tc>
        <w:tc>
          <w:tcPr>
            <w:tcW w:type="dxa" w:w="3024"/>
          </w:tcPr>
          <w:p>
            <w:r>
              <w:rPr>
                <w:rFonts w:ascii="Times New Roman" w:hAnsi="Times New Roman"/>
                <w:sz w:val="19"/>
              </w:rPr>
              <w:t>unknown</w:t>
            </w:r>
          </w:p>
        </w:tc>
      </w:tr>
      <w:tr>
        <w:tc>
          <w:tcPr>
            <w:tcW w:type="dxa" w:w="3024"/>
          </w:tcPr>
          <w:p>
            <w:r>
              <w:rPr>
                <w:rFonts w:ascii="Times New Roman" w:hAnsi="Times New Roman"/>
                <w:sz w:val="19"/>
              </w:rPr>
              <w:t>hydroxychloroquine</w:t>
            </w:r>
          </w:p>
        </w:tc>
        <w:tc>
          <w:tcPr>
            <w:tcW w:type="dxa" w:w="3024"/>
          </w:tcPr>
          <w:p>
            <w:r>
              <w:rPr>
                <w:rFonts w:ascii="Times New Roman" w:hAnsi="Times New Roman"/>
                <w:sz w:val="19"/>
              </w:rPr>
              <w:t>-6.28</w:t>
            </w:r>
          </w:p>
        </w:tc>
        <w:tc>
          <w:tcPr>
            <w:tcW w:type="dxa" w:w="3024"/>
          </w:tcPr>
          <w:p>
            <w:r>
              <w:rPr>
                <w:rFonts w:ascii="Times New Roman" w:hAnsi="Times New Roman"/>
                <w:sz w:val="19"/>
              </w:rPr>
              <w:t>inactive</w:t>
            </w:r>
          </w:p>
        </w:tc>
      </w:tr>
      <w:tr>
        <w:tc>
          <w:tcPr>
            <w:tcW w:type="dxa" w:w="3024"/>
          </w:tcPr>
          <w:p>
            <w:r>
              <w:rPr>
                <w:rFonts w:ascii="Times New Roman" w:hAnsi="Times New Roman"/>
                <w:sz w:val="19"/>
              </w:rPr>
              <w:t>chloroquine</w:t>
            </w:r>
          </w:p>
        </w:tc>
        <w:tc>
          <w:tcPr>
            <w:tcW w:type="dxa" w:w="3024"/>
          </w:tcPr>
          <w:p>
            <w:r>
              <w:rPr>
                <w:rFonts w:ascii="Times New Roman" w:hAnsi="Times New Roman"/>
                <w:sz w:val="19"/>
              </w:rPr>
              <w:t>-6.09</w:t>
            </w:r>
          </w:p>
        </w:tc>
        <w:tc>
          <w:tcPr>
            <w:tcW w:type="dxa" w:w="3024"/>
          </w:tcPr>
          <w:p>
            <w:r>
              <w:rPr>
                <w:rFonts w:ascii="Times New Roman" w:hAnsi="Times New Roman"/>
                <w:sz w:val="19"/>
              </w:rPr>
              <w:t>inactive</w:t>
            </w:r>
          </w:p>
        </w:tc>
      </w:tr>
      <w:tr>
        <w:tc>
          <w:tcPr>
            <w:tcW w:type="dxa" w:w="3024"/>
          </w:tcPr>
          <w:p>
            <w:r>
              <w:rPr>
                <w:rFonts w:ascii="Times New Roman" w:hAnsi="Times New Roman"/>
                <w:sz w:val="19"/>
              </w:rPr>
              <w:t>carmofur</w:t>
            </w:r>
          </w:p>
        </w:tc>
        <w:tc>
          <w:tcPr>
            <w:tcW w:type="dxa" w:w="3024"/>
          </w:tcPr>
          <w:p>
            <w:r>
              <w:rPr>
                <w:rFonts w:ascii="Times New Roman" w:hAnsi="Times New Roman"/>
                <w:sz w:val="19"/>
              </w:rPr>
              <w:t>-6.05</w:t>
            </w:r>
          </w:p>
        </w:tc>
        <w:tc>
          <w:tcPr>
            <w:tcW w:type="dxa" w:w="3024"/>
          </w:tcPr>
          <w:p>
            <w:r>
              <w:rPr>
                <w:rFonts w:ascii="Times New Roman" w:hAnsi="Times New Roman"/>
                <w:sz w:val="19"/>
              </w:rPr>
              <w:t>active</w:t>
            </w:r>
          </w:p>
        </w:tc>
      </w:tr>
      <w:tr>
        <w:tc>
          <w:tcPr>
            <w:tcW w:type="dxa" w:w="3024"/>
          </w:tcPr>
          <w:p>
            <w:r>
              <w:rPr>
                <w:rFonts w:ascii="Times New Roman" w:hAnsi="Times New Roman"/>
                <w:sz w:val="19"/>
              </w:rPr>
              <w:t>favipiravir</w:t>
            </w:r>
          </w:p>
        </w:tc>
        <w:tc>
          <w:tcPr>
            <w:tcW w:type="dxa" w:w="3024"/>
          </w:tcPr>
          <w:p>
            <w:r>
              <w:rPr>
                <w:rFonts w:ascii="Times New Roman" w:hAnsi="Times New Roman"/>
                <w:sz w:val="19"/>
              </w:rPr>
              <w:t>-5.31</w:t>
            </w:r>
          </w:p>
        </w:tc>
        <w:tc>
          <w:tcPr>
            <w:tcW w:type="dxa" w:w="3024"/>
          </w:tcPr>
          <w:p>
            <w:r>
              <w:rPr>
                <w:rFonts w:ascii="Times New Roman" w:hAnsi="Times New Roman"/>
                <w:sz w:val="19"/>
              </w:rPr>
              <w:t>unknown</w:t>
            </w:r>
          </w:p>
        </w:tc>
      </w:tr>
      <w:tr>
        <w:tc>
          <w:tcPr>
            <w:tcW w:type="dxa" w:w="3024"/>
          </w:tcPr>
          <w:p>
            <w:r>
              <w:rPr>
                <w:rFonts w:ascii="Times New Roman" w:hAnsi="Times New Roman"/>
                <w:sz w:val="19"/>
              </w:rPr>
              <w:t>disulfiram</w:t>
            </w:r>
          </w:p>
        </w:tc>
        <w:tc>
          <w:tcPr>
            <w:tcW w:type="dxa" w:w="3024"/>
          </w:tcPr>
          <w:p>
            <w:r>
              <w:rPr>
                <w:rFonts w:ascii="Times New Roman" w:hAnsi="Times New Roman"/>
                <w:sz w:val="19"/>
              </w:rPr>
              <w:t>-4.61</w:t>
            </w:r>
          </w:p>
        </w:tc>
        <w:tc>
          <w:tcPr>
            <w:tcW w:type="dxa" w:w="3024"/>
          </w:tcPr>
          <w:p>
            <w:r>
              <w:rPr>
                <w:rFonts w:ascii="Times New Roman" w:hAnsi="Times New Roman"/>
                <w:sz w:val="19"/>
              </w:rPr>
              <w:t>active</w:t>
            </w:r>
          </w:p>
        </w:tc>
      </w:tr>
    </w:tbl>
    <w:p>
      <w:pPr>
        <w:jc w:val="center"/>
      </w:pPr>
      <w:r>
        <w:drawing>
          <wp:inline xmlns:a="http://schemas.openxmlformats.org/drawingml/2006/main" xmlns:pic="http://schemas.openxmlformats.org/drawingml/2006/picture">
            <wp:extent cx="5486400" cy="3086100"/>
            <wp:docPr id="2" name="Picture 2"/>
            <wp:cNvGraphicFramePr>
              <a:graphicFrameLocks noChangeAspect="1"/>
            </wp:cNvGraphicFramePr>
            <a:graphic>
              <a:graphicData uri="http://schemas.openxmlformats.org/drawingml/2006/picture">
                <pic:pic>
                  <pic:nvPicPr>
                    <pic:cNvPr id="0" name="screen_ranking.png"/>
                    <pic:cNvPicPr/>
                  </pic:nvPicPr>
                  <pic:blipFill>
                    <a:blip r:embed="rId10"/>
                    <a:stretch>
                      <a:fillRect/>
                    </a:stretch>
                  </pic:blipFill>
                  <pic:spPr>
                    <a:xfrm>
                      <a:off x="0" y="0"/>
                      <a:ext cx="5486400" cy="3086100"/>
                    </a:xfrm>
                    <a:prstGeom prst="rect"/>
                  </pic:spPr>
                </pic:pic>
              </a:graphicData>
            </a:graphic>
          </wp:inline>
        </w:drawing>
      </w:r>
    </w:p>
    <w:p>
      <w:pPr>
        <w:jc w:val="center"/>
      </w:pPr>
      <w:r>
        <w:rPr>
          <w:rFonts w:ascii="Times New Roman" w:hAnsi="Times New Roman"/>
          <w:b w:val="0"/>
          <w:i/>
        </w:rPr>
        <w:t>Figure 2. Affinity ranking colored by literature label (red active, blue inactive, gray unknown).</w:t>
      </w:r>
    </w:p>
    <w:p>
      <w:pPr>
        <w:pStyle w:val="Heading2"/>
      </w:pPr>
      <w:r>
        <w:rPr>
          <w:rFonts w:ascii="Times New Roman" w:hAnsi="Times New Roman"/>
          <w:color w:val="1F4E9C"/>
        </w:rPr>
        <w:t>3.3 The benchmark: raw engine vs descriptor MLP vs pose-graph GNN</w:t>
      </w:r>
    </w:p>
    <w:p>
      <w:r>
        <w:rPr>
          <w:rFonts w:ascii="Times New Roman" w:hAnsi="Times New Roman"/>
          <w:b w:val="0"/>
          <w:i w:val="0"/>
        </w:rPr>
        <w:t>Three scorers, one label set, one protocol (leave-one-out, n = 15): raw Vina 0.339; descriptor MLP 0.679; pose-graph GNN 0.871 +/- 0.050 (corrected, five seeds). The ordering is the finding: the scalar engine score carries almost no ranking signal, physicochemical descriptors recover part of it, and the docked pose geometry - contacts, not properties - carries nearly all of what is recoverable at this n. We state the caveat in the same breath: 15 labeled points leave wide confidence intervals, and the GNN number should be read as 'learned pose rescoring dominates on this set', not as a universal constant. The comparison is still the paper's benchmark result, because the three numbers were produced by one pipeline on one label set under one protocol - which is exactly what the published docking literature too rarely provides.</w:t>
      </w:r>
    </w:p>
    <w:p>
      <w:r>
        <w:rPr>
          <w:rFonts w:ascii="Times New Roman" w:hAnsi="Times New Roman"/>
          <w:b w:val="0"/>
          <w:i/>
        </w:rPr>
        <w:t>Table 2. Head-to-head ranking benchmark (leave-one-out AUROC, n = 15 labeled).</w:t>
      </w:r>
    </w:p>
    <w:tbl>
      <w:tblPr>
        <w:tblStyle w:val="TableGrid"/>
        <w:tblW w:type="auto" w:w="0"/>
        <w:tblLook w:firstColumn="1" w:firstRow="1" w:lastColumn="0" w:lastRow="0" w:noHBand="0" w:noVBand="1" w:val="04A0"/>
      </w:tblPr>
      <w:tblGrid>
        <w:gridCol w:w="3024"/>
        <w:gridCol w:w="3024"/>
        <w:gridCol w:w="3024"/>
      </w:tblGrid>
      <w:tr>
        <w:tc>
          <w:tcPr>
            <w:tcW w:type="dxa" w:w="3024"/>
            <w:shd w:val="clear" w:fill="DCE6F1"/>
          </w:tcPr>
          <w:p>
            <w:r>
              <w:rPr>
                <w:rFonts w:ascii="Times New Roman" w:hAnsi="Times New Roman"/>
                <w:b/>
                <w:sz w:val="19"/>
              </w:rPr>
              <w:t>scorer</w:t>
            </w:r>
          </w:p>
        </w:tc>
        <w:tc>
          <w:tcPr>
            <w:tcW w:type="dxa" w:w="3024"/>
            <w:shd w:val="clear" w:fill="DCE6F1"/>
          </w:tcPr>
          <w:p>
            <w:r>
              <w:rPr>
                <w:rFonts w:ascii="Times New Roman" w:hAnsi="Times New Roman"/>
                <w:b/>
                <w:sz w:val="19"/>
              </w:rPr>
              <w:t>input</w:t>
            </w:r>
          </w:p>
        </w:tc>
        <w:tc>
          <w:tcPr>
            <w:tcW w:type="dxa" w:w="3024"/>
            <w:shd w:val="clear" w:fill="DCE6F1"/>
          </w:tcPr>
          <w:p>
            <w:r>
              <w:rPr>
                <w:rFonts w:ascii="Times New Roman" w:hAnsi="Times New Roman"/>
                <w:b/>
                <w:sz w:val="19"/>
              </w:rPr>
              <w:t>LOO AUROC</w:t>
            </w:r>
          </w:p>
        </w:tc>
      </w:tr>
      <w:tr>
        <w:tc>
          <w:tcPr>
            <w:tcW w:type="dxa" w:w="3024"/>
          </w:tcPr>
          <w:p>
            <w:r>
              <w:rPr>
                <w:rFonts w:ascii="Times New Roman" w:hAnsi="Times New Roman"/>
                <w:sz w:val="19"/>
              </w:rPr>
              <w:t>raw Vina affinity</w:t>
            </w:r>
          </w:p>
        </w:tc>
        <w:tc>
          <w:tcPr>
            <w:tcW w:type="dxa" w:w="3024"/>
          </w:tcPr>
          <w:p>
            <w:r>
              <w:rPr>
                <w:rFonts w:ascii="Times New Roman" w:hAnsi="Times New Roman"/>
                <w:sz w:val="19"/>
              </w:rPr>
              <w:t>scalar engine score</w:t>
            </w:r>
          </w:p>
        </w:tc>
        <w:tc>
          <w:tcPr>
            <w:tcW w:type="dxa" w:w="3024"/>
          </w:tcPr>
          <w:p>
            <w:r>
              <w:rPr>
                <w:rFonts w:ascii="Times New Roman" w:hAnsi="Times New Roman"/>
                <w:sz w:val="19"/>
              </w:rPr>
              <w:t>0.339</w:t>
            </w:r>
          </w:p>
        </w:tc>
      </w:tr>
      <w:tr>
        <w:tc>
          <w:tcPr>
            <w:tcW w:type="dxa" w:w="3024"/>
          </w:tcPr>
          <w:p>
            <w:r>
              <w:rPr>
                <w:rFonts w:ascii="Times New Roman" w:hAnsi="Times New Roman"/>
                <w:sz w:val="19"/>
              </w:rPr>
              <w:t>descriptor MLP</w:t>
            </w:r>
          </w:p>
        </w:tc>
        <w:tc>
          <w:tcPr>
            <w:tcW w:type="dxa" w:w="3024"/>
          </w:tcPr>
          <w:p>
            <w:r>
              <w:rPr>
                <w:rFonts w:ascii="Times New Roman" w:hAnsi="Times New Roman"/>
                <w:sz w:val="19"/>
              </w:rPr>
              <w:t>8 physchem + docking descriptors</w:t>
            </w:r>
          </w:p>
        </w:tc>
        <w:tc>
          <w:tcPr>
            <w:tcW w:type="dxa" w:w="3024"/>
          </w:tcPr>
          <w:p>
            <w:r>
              <w:rPr>
                <w:rFonts w:ascii="Times New Roman" w:hAnsi="Times New Roman"/>
                <w:sz w:val="19"/>
              </w:rPr>
              <w:t>0.679</w:t>
            </w:r>
          </w:p>
        </w:tc>
      </w:tr>
      <w:tr>
        <w:tc>
          <w:tcPr>
            <w:tcW w:type="dxa" w:w="3024"/>
          </w:tcPr>
          <w:p>
            <w:r>
              <w:rPr>
                <w:rFonts w:ascii="Times New Roman" w:hAnsi="Times New Roman"/>
                <w:sz w:val="19"/>
              </w:rPr>
              <w:t>pose-graph GNN (5-seed mean)</w:t>
            </w:r>
          </w:p>
        </w:tc>
        <w:tc>
          <w:tcPr>
            <w:tcW w:type="dxa" w:w="3024"/>
          </w:tcPr>
          <w:p>
            <w:r>
              <w:rPr>
                <w:rFonts w:ascii="Times New Roman" w:hAnsi="Times New Roman"/>
                <w:sz w:val="19"/>
              </w:rPr>
              <w:t>docked contact graph</w:t>
            </w:r>
          </w:p>
        </w:tc>
        <w:tc>
          <w:tcPr>
            <w:tcW w:type="dxa" w:w="3024"/>
          </w:tcPr>
          <w:p>
            <w:r>
              <w:rPr>
                <w:rFonts w:ascii="Times New Roman" w:hAnsi="Times New Roman"/>
                <w:sz w:val="19"/>
              </w:rPr>
              <w:t>0.871 +/- 0.050</w:t>
            </w:r>
          </w:p>
        </w:tc>
      </w:tr>
    </w:tbl>
    <w:p>
      <w:pPr>
        <w:pStyle w:val="Heading3"/>
      </w:pPr>
      <w:r>
        <w:rPr>
          <w:rFonts w:ascii="Times New Roman" w:hAnsi="Times New Roman"/>
          <w:color w:val="1F4E9C"/>
        </w:rPr>
        <w:t>3.3b Correction: The GNN Number Is Seed-Dependent</w:t>
      </w:r>
    </w:p>
    <w:p>
      <w:r>
        <w:rPr>
          <w:rFonts w:ascii="Times New Roman" w:hAnsi="Times New Roman"/>
          <w:b w:val="0"/>
          <w:i w:val="0"/>
        </w:rPr>
        <w:t>INTEGRITY NOTE (supersedes earlier versions of this paper). The first analysis reported the GNN rescorer's leave-one-out AUROC as 0.946. A five-seed robustness rerun (results/gnn_robustness.json) shows that value was single-seed luck: the per-seed values are 0.893, 0.911, 0.821, 0.804, 0.929, mean 0.871 +/- 0.050, and even seed 0 did not reproduce 0.946 on rerun (0.893 - torch thread nondeterminism at n=15). The corrected claim: the GNN rescorer ranks this label set at LOO AUROC 0.87 +/- 0.05 - still clearly above the descriptor MLP (0.679) and the raw engine (0.339), so the ORDERING of the benchmark survives, but the point value does not. The n=59 extended screen reported in Section 3.3c is that verdict; until Section 3.3c, every GNN number in this paper should be read with this correction attached. The 0.946 figure is withdrawn.</w:t>
      </w:r>
    </w:p>
    <w:p>
      <w:pPr>
        <w:pStyle w:val="Heading3"/>
      </w:pPr>
      <w:r>
        <w:rPr>
          <w:rFonts w:ascii="Times New Roman" w:hAnsi="Times New Roman"/>
          <w:color w:val="1F4E9C"/>
        </w:rPr>
        <w:t>3.3c The bigscreen verdict: learned rescoring at n = 59</w:t>
      </w:r>
    </w:p>
    <w:p>
      <w:r>
        <w:rPr>
          <w:rFonts w:ascii="Times New Roman" w:hAnsi="Times New Roman"/>
          <w:b w:val="0"/>
          <w:i w:val="0"/>
        </w:rPr>
        <w:t>The extended benchmark (studies/study12_bigscreen.py, study12_biganalyze.py) grows the label set from 15 to 59 (32 active / 27 inactive): the 22-ligand literature screen plus a balanced 50-compound ChEMBL sample (25 strongest actives + 25 weakest inactives, enzyme labels). Eligibility was documented before scoring, not after: 17 macrocycles (any ring of 12+ atoms) were excluded as outside the validated small-molecule protocol, with the inactive pool backfilled to keep the balance; 6 further compounds were skip-recorded with reasons (4 benzoxaboroles - vina has no boron parameters; 2 flexible peptides on which the engine's worker crashed). The full exclusion ledger is results/bigscreen_exclusions.json and the per-compound cache is results/bigscreen/. Three scorers, one protocol (LOO; GNN over five seeds): raw Vina 0.534; descriptor MLP 0.830; 2D molecular-graph GNN 0.833 +/- 0.010 (per-seed 0.839, 0.833, 0.824, 0.848, 0.819). Two findings, both reported as measured. First, the benchmark break survives and grows: learned rescoring beats the raw engine by ~0.30 AUROC on a label set four times larger - the raw engine sits at the chance line (0.534) while learned models reach 0.83. Second, an honest reversal: the pose-GNN's large edge over the descriptor MLP at n = 15 (0.871 vs 0.679) does NOT replicate at n = 59 (0.83 vs 0.83 - within one standard error of each other). Small-n geometry superiority was partly small-n noise; at n = 59 the defensible claim is that LEARNED rescoring - descriptor or graph - is what breaks the raw engine, with no decided winner between the two learned families at this n. The GNN here is a 2D bond-graph network, architecturally distinct from the n = 15 pose-graph rescorer, because the bigscreen cache did not retain poses; the two architectures are therefore reported, not merged - until Section 3.3d, which reruns every architecture on this label set and decides the question (against the pose architecture).</w:t>
      </w:r>
    </w:p>
    <w:p>
      <w:pPr>
        <w:jc w:val="center"/>
      </w:pPr>
      <w:r>
        <w:drawing>
          <wp:inline xmlns:a="http://schemas.openxmlformats.org/drawingml/2006/main" xmlns:pic="http://schemas.openxmlformats.org/drawingml/2006/picture">
            <wp:extent cx="5120640" cy="3413760"/>
            <wp:docPr id="3" name="Picture 3"/>
            <wp:cNvGraphicFramePr>
              <a:graphicFrameLocks noChangeAspect="1"/>
            </wp:cNvGraphicFramePr>
            <a:graphic>
              <a:graphicData uri="http://schemas.openxmlformats.org/drawingml/2006/picture">
                <pic:pic>
                  <pic:nvPicPr>
                    <pic:cNvPr id="0" name="bigscreen_auroc.png"/>
                    <pic:cNvPicPr/>
                  </pic:nvPicPr>
                  <pic:blipFill>
                    <a:blip r:embed="rId11"/>
                    <a:stretch>
                      <a:fillRect/>
                    </a:stretch>
                  </pic:blipFill>
                  <pic:spPr>
                    <a:xfrm>
                      <a:off x="0" y="0"/>
                      <a:ext cx="5120640" cy="3413760"/>
                    </a:xfrm>
                    <a:prstGeom prst="rect"/>
                  </pic:spPr>
                </pic:pic>
              </a:graphicData>
            </a:graphic>
          </wp:inline>
        </w:drawing>
      </w:r>
    </w:p>
    <w:p>
      <w:pPr>
        <w:jc w:val="center"/>
      </w:pPr>
      <w:r>
        <w:rPr>
          <w:rFonts w:ascii="Times New Roman" w:hAnsi="Times New Roman"/>
          <w:b w:val="0"/>
          <w:i/>
        </w:rPr>
        <w:t>Figure 2b. The bigscreen verdict at n = 59: raw Vina vs descriptor MLP vs 2D-GNN (LOO; GNN five-seed mean +/- std). The learned scorers, not the winner between them, are the result.</w:t>
      </w:r>
    </w:p>
    <w:p>
      <w:pPr>
        <w:pStyle w:val="Heading3"/>
      </w:pPr>
      <w:r>
        <w:rPr>
          <w:rFonts w:ascii="Times New Roman" w:hAnsi="Times New Roman"/>
          <w:color w:val="1F4E9C"/>
        </w:rPr>
        <w:t>3.3d The merged benchmark: every architecture on one scaffold split</w:t>
      </w:r>
    </w:p>
    <w:p>
      <w:r>
        <w:rPr>
          <w:rFonts w:ascii="Times New Roman" w:hAnsi="Times New Roman"/>
          <w:b w:val="0"/>
          <w:i w:val="0"/>
        </w:rPr>
        <w:t>Sections 3.3-3.3c compared architectures in pairs, on different label sets and different caches - a limitation flagged above as 'reported, not merged'. The merged benchmark (studies/study12_ablation.py, results/ablation.json) closes that gap: every scorer retrained on the SAME 59-compound label set under the SAME five scaffold-grouped splits (seeds 0-4), with the controls and gates preregistered before any outcome was seen. Pose coverage is 52 of 59 labels: seven compounds hit the declared 120-second docking timeout (CHEMBL445978, CHEMBL4877763, atazanavir, indinavir, lopinavir, saquinavir, telaprevir) and are excluded from the pose arms only, never from the pose-free arms. The pose-available subset is mildly enriched for actives (0.60 vs 0.54 overall; similar molecular weight, rotatable bonds and logP) - reported descriptively; no gate depends on it.</w:t>
      </w:r>
    </w:p>
    <w:p>
      <w:r>
        <w:rPr>
          <w:rFonts w:ascii="Times New Roman" w:hAnsi="Times New Roman"/>
          <w:b w:val="0"/>
          <w:i/>
        </w:rPr>
        <w:t>Table 2c. Merged architecture benchmark - mean AUROC over five scaffold-grouped splits, n = 59 labeled compounds (95% CI across splits in brackets).</w:t>
      </w:r>
    </w:p>
    <w:tbl>
      <w:tblPr>
        <w:tblStyle w:val="TableGrid"/>
        <w:tblW w:type="auto" w:w="0"/>
        <w:tblLook w:firstColumn="1" w:firstRow="1" w:lastColumn="0" w:lastRow="0" w:noHBand="0" w:noVBand="1" w:val="04A0"/>
      </w:tblPr>
      <w:tblGrid>
        <w:gridCol w:w="3024"/>
        <w:gridCol w:w="3024"/>
        <w:gridCol w:w="3024"/>
      </w:tblGrid>
      <w:tr>
        <w:tc>
          <w:tcPr>
            <w:tcW w:type="dxa" w:w="3024"/>
            <w:shd w:val="clear" w:fill="DCE6F1"/>
          </w:tcPr>
          <w:p>
            <w:r>
              <w:rPr>
                <w:rFonts w:ascii="Times New Roman" w:hAnsi="Times New Roman"/>
                <w:b/>
                <w:sz w:val="19"/>
              </w:rPr>
              <w:t>scorer</w:t>
            </w:r>
          </w:p>
        </w:tc>
        <w:tc>
          <w:tcPr>
            <w:tcW w:type="dxa" w:w="3024"/>
            <w:shd w:val="clear" w:fill="DCE6F1"/>
          </w:tcPr>
          <w:p>
            <w:r>
              <w:rPr>
                <w:rFonts w:ascii="Times New Roman" w:hAnsi="Times New Roman"/>
                <w:b/>
                <w:sz w:val="19"/>
              </w:rPr>
              <w:t>input</w:t>
            </w:r>
          </w:p>
        </w:tc>
        <w:tc>
          <w:tcPr>
            <w:tcW w:type="dxa" w:w="3024"/>
            <w:shd w:val="clear" w:fill="DCE6F1"/>
          </w:tcPr>
          <w:p>
            <w:r>
              <w:rPr>
                <w:rFonts w:ascii="Times New Roman" w:hAnsi="Times New Roman"/>
                <w:b/>
                <w:sz w:val="19"/>
              </w:rPr>
              <w:t>mean AUROC [95% CI]</w:t>
            </w:r>
          </w:p>
        </w:tc>
      </w:tr>
      <w:tr>
        <w:tc>
          <w:tcPr>
            <w:tcW w:type="dxa" w:w="3024"/>
          </w:tcPr>
          <w:p>
            <w:r>
              <w:rPr>
                <w:rFonts w:ascii="Times New Roman" w:hAnsi="Times New Roman"/>
                <w:sz w:val="19"/>
              </w:rPr>
              <w:t>raw Vina affinity</w:t>
            </w:r>
          </w:p>
        </w:tc>
        <w:tc>
          <w:tcPr>
            <w:tcW w:type="dxa" w:w="3024"/>
          </w:tcPr>
          <w:p>
            <w:r>
              <w:rPr>
                <w:rFonts w:ascii="Times New Roman" w:hAnsi="Times New Roman"/>
                <w:sz w:val="19"/>
              </w:rPr>
              <w:t>scalar engine score</w:t>
            </w:r>
          </w:p>
        </w:tc>
        <w:tc>
          <w:tcPr>
            <w:tcW w:type="dxa" w:w="3024"/>
          </w:tcPr>
          <w:p>
            <w:r>
              <w:rPr>
                <w:rFonts w:ascii="Times New Roman" w:hAnsi="Times New Roman"/>
                <w:sz w:val="19"/>
              </w:rPr>
              <w:t>0.540 [0.35-0.68]</w:t>
            </w:r>
          </w:p>
        </w:tc>
      </w:tr>
      <w:tr>
        <w:tc>
          <w:tcPr>
            <w:tcW w:type="dxa" w:w="3024"/>
          </w:tcPr>
          <w:p>
            <w:r>
              <w:rPr>
                <w:rFonts w:ascii="Times New Roman" w:hAnsi="Times New Roman"/>
                <w:sz w:val="19"/>
              </w:rPr>
              <w:t>descriptor MLP (8 features)</w:t>
            </w:r>
          </w:p>
        </w:tc>
        <w:tc>
          <w:tcPr>
            <w:tcW w:type="dxa" w:w="3024"/>
          </w:tcPr>
          <w:p>
            <w:r>
              <w:rPr>
                <w:rFonts w:ascii="Times New Roman" w:hAnsi="Times New Roman"/>
                <w:sz w:val="19"/>
              </w:rPr>
              <w:t>7 physchem + Vina-derived</w:t>
            </w:r>
          </w:p>
        </w:tc>
        <w:tc>
          <w:tcPr>
            <w:tcW w:type="dxa" w:w="3024"/>
          </w:tcPr>
          <w:p>
            <w:r>
              <w:rPr>
                <w:rFonts w:ascii="Times New Roman" w:hAnsi="Times New Roman"/>
                <w:sz w:val="19"/>
              </w:rPr>
              <w:t>0.921 [0.87-0.97]</w:t>
            </w:r>
          </w:p>
        </w:tc>
      </w:tr>
      <w:tr>
        <w:tc>
          <w:tcPr>
            <w:tcW w:type="dxa" w:w="3024"/>
          </w:tcPr>
          <w:p>
            <w:r>
              <w:rPr>
                <w:rFonts w:ascii="Times New Roman" w:hAnsi="Times New Roman"/>
                <w:sz w:val="19"/>
              </w:rPr>
              <w:t>descriptor MLP (7 features)</w:t>
            </w:r>
          </w:p>
        </w:tc>
        <w:tc>
          <w:tcPr>
            <w:tcW w:type="dxa" w:w="3024"/>
          </w:tcPr>
          <w:p>
            <w:r>
              <w:rPr>
                <w:rFonts w:ascii="Times New Roman" w:hAnsi="Times New Roman"/>
                <w:sz w:val="19"/>
              </w:rPr>
              <w:t>physchem only</w:t>
            </w:r>
          </w:p>
        </w:tc>
        <w:tc>
          <w:tcPr>
            <w:tcW w:type="dxa" w:w="3024"/>
          </w:tcPr>
          <w:p>
            <w:r>
              <w:rPr>
                <w:rFonts w:ascii="Times New Roman" w:hAnsi="Times New Roman"/>
                <w:sz w:val="19"/>
              </w:rPr>
              <w:t>0.915 [0.86-0.95]</w:t>
            </w:r>
          </w:p>
        </w:tc>
      </w:tr>
      <w:tr>
        <w:tc>
          <w:tcPr>
            <w:tcW w:type="dxa" w:w="3024"/>
          </w:tcPr>
          <w:p>
            <w:r>
              <w:rPr>
                <w:rFonts w:ascii="Times New Roman" w:hAnsi="Times New Roman"/>
                <w:sz w:val="19"/>
              </w:rPr>
              <w:t>2D molecular-graph GNN</w:t>
            </w:r>
          </w:p>
        </w:tc>
        <w:tc>
          <w:tcPr>
            <w:tcW w:type="dxa" w:w="3024"/>
          </w:tcPr>
          <w:p>
            <w:r>
              <w:rPr>
                <w:rFonts w:ascii="Times New Roman" w:hAnsi="Times New Roman"/>
                <w:sz w:val="19"/>
              </w:rPr>
              <w:t>bond graph, no pose</w:t>
            </w:r>
          </w:p>
        </w:tc>
        <w:tc>
          <w:tcPr>
            <w:tcW w:type="dxa" w:w="3024"/>
          </w:tcPr>
          <w:p>
            <w:r>
              <w:rPr>
                <w:rFonts w:ascii="Times New Roman" w:hAnsi="Times New Roman"/>
                <w:sz w:val="19"/>
              </w:rPr>
              <w:t>0.902 [0.78-0.98]</w:t>
            </w:r>
          </w:p>
        </w:tc>
      </w:tr>
      <w:tr>
        <w:tc>
          <w:tcPr>
            <w:tcW w:type="dxa" w:w="3024"/>
          </w:tcPr>
          <w:p>
            <w:r>
              <w:rPr>
                <w:rFonts w:ascii="Times New Roman" w:hAnsi="Times New Roman"/>
                <w:sz w:val="19"/>
              </w:rPr>
              <w:t>pose-graph GNN</w:t>
            </w:r>
          </w:p>
        </w:tc>
        <w:tc>
          <w:tcPr>
            <w:tcW w:type="dxa" w:w="3024"/>
          </w:tcPr>
          <w:p>
            <w:r>
              <w:rPr>
                <w:rFonts w:ascii="Times New Roman" w:hAnsi="Times New Roman"/>
                <w:sz w:val="19"/>
              </w:rPr>
              <w:t>docked contact graph</w:t>
            </w:r>
          </w:p>
        </w:tc>
        <w:tc>
          <w:tcPr>
            <w:tcW w:type="dxa" w:w="3024"/>
          </w:tcPr>
          <w:p>
            <w:r>
              <w:rPr>
                <w:rFonts w:ascii="Times New Roman" w:hAnsi="Times New Roman"/>
                <w:sz w:val="19"/>
              </w:rPr>
              <w:t>0.782 [0.56-0.95]</w:t>
            </w:r>
          </w:p>
        </w:tc>
      </w:tr>
      <w:tr>
        <w:tc>
          <w:tcPr>
            <w:tcW w:type="dxa" w:w="3024"/>
          </w:tcPr>
          <w:p>
            <w:r>
              <w:rPr>
                <w:rFonts w:ascii="Times New Roman" w:hAnsi="Times New Roman"/>
                <w:sz w:val="19"/>
              </w:rPr>
              <w:t>fusion (pose graph + descriptors)</w:t>
            </w:r>
          </w:p>
        </w:tc>
        <w:tc>
          <w:tcPr>
            <w:tcW w:type="dxa" w:w="3024"/>
          </w:tcPr>
          <w:p>
            <w:r>
              <w:rPr>
                <w:rFonts w:ascii="Times New Roman" w:hAnsi="Times New Roman"/>
                <w:sz w:val="19"/>
              </w:rPr>
              <w:t>both</w:t>
            </w:r>
          </w:p>
        </w:tc>
        <w:tc>
          <w:tcPr>
            <w:tcW w:type="dxa" w:w="3024"/>
          </w:tcPr>
          <w:p>
            <w:r>
              <w:rPr>
                <w:rFonts w:ascii="Times New Roman" w:hAnsi="Times New Roman"/>
                <w:sz w:val="19"/>
              </w:rPr>
              <w:t>0.931 [0.87-0.98]</w:t>
            </w:r>
          </w:p>
        </w:tc>
      </w:tr>
      <w:tr>
        <w:tc>
          <w:tcPr>
            <w:tcW w:type="dxa" w:w="3024"/>
          </w:tcPr>
          <w:p>
            <w:r>
              <w:rPr>
                <w:rFonts w:ascii="Times New Roman" w:hAnsi="Times New Roman"/>
                <w:sz w:val="19"/>
              </w:rPr>
              <w:t>control: pose-GNN, random coordinates</w:t>
            </w:r>
          </w:p>
        </w:tc>
        <w:tc>
          <w:tcPr>
            <w:tcW w:type="dxa" w:w="3024"/>
          </w:tcPr>
          <w:p>
            <w:r>
              <w:rPr>
                <w:rFonts w:ascii="Times New Roman" w:hAnsi="Times New Roman"/>
                <w:sz w:val="19"/>
              </w:rPr>
              <w:t>structure-blind pose net</w:t>
            </w:r>
          </w:p>
        </w:tc>
        <w:tc>
          <w:tcPr>
            <w:tcW w:type="dxa" w:w="3024"/>
          </w:tcPr>
          <w:p>
            <w:r>
              <w:rPr>
                <w:rFonts w:ascii="Times New Roman" w:hAnsi="Times New Roman"/>
                <w:sz w:val="19"/>
              </w:rPr>
              <w:t>0.831 [0.64-0.96]</w:t>
            </w:r>
          </w:p>
        </w:tc>
      </w:tr>
      <w:tr>
        <w:tc>
          <w:tcPr>
            <w:tcW w:type="dxa" w:w="3024"/>
          </w:tcPr>
          <w:p>
            <w:r>
              <w:rPr>
                <w:rFonts w:ascii="Times New Roman" w:hAnsi="Times New Roman"/>
                <w:sz w:val="19"/>
              </w:rPr>
              <w:t>control: pose-GNN, coords shuffled in scaffold</w:t>
            </w:r>
          </w:p>
        </w:tc>
        <w:tc>
          <w:tcPr>
            <w:tcW w:type="dxa" w:w="3024"/>
          </w:tcPr>
          <w:p>
            <w:r>
              <w:rPr>
                <w:rFonts w:ascii="Times New Roman" w:hAnsi="Times New Roman"/>
                <w:sz w:val="19"/>
              </w:rPr>
              <w:t>same poses, geometry scrambled</w:t>
            </w:r>
          </w:p>
        </w:tc>
        <w:tc>
          <w:tcPr>
            <w:tcW w:type="dxa" w:w="3024"/>
          </w:tcPr>
          <w:p>
            <w:r>
              <w:rPr>
                <w:rFonts w:ascii="Times New Roman" w:hAnsi="Times New Roman"/>
                <w:sz w:val="19"/>
              </w:rPr>
              <w:t>0.830 [0.64-0.96]</w:t>
            </w:r>
          </w:p>
        </w:tc>
      </w:tr>
      <w:tr>
        <w:tc>
          <w:tcPr>
            <w:tcW w:type="dxa" w:w="3024"/>
          </w:tcPr>
          <w:p>
            <w:r>
              <w:rPr>
                <w:rFonts w:ascii="Times New Roman" w:hAnsi="Times New Roman"/>
                <w:sz w:val="19"/>
              </w:rPr>
              <w:t>control: 2D-GNN, random labels</w:t>
            </w:r>
          </w:p>
        </w:tc>
        <w:tc>
          <w:tcPr>
            <w:tcW w:type="dxa" w:w="3024"/>
          </w:tcPr>
          <w:p>
            <w:r>
              <w:rPr>
                <w:rFonts w:ascii="Times New Roman" w:hAnsi="Times New Roman"/>
                <w:sz w:val="19"/>
              </w:rPr>
              <w:t>sanity bound</w:t>
            </w:r>
          </w:p>
        </w:tc>
        <w:tc>
          <w:tcPr>
            <w:tcW w:type="dxa" w:w="3024"/>
          </w:tcPr>
          <w:p>
            <w:r>
              <w:rPr>
                <w:rFonts w:ascii="Times New Roman" w:hAnsi="Times New Roman"/>
                <w:sz w:val="19"/>
              </w:rPr>
              <w:t>0.525 [0.42-0.61]</w:t>
            </w:r>
          </w:p>
        </w:tc>
      </w:tr>
    </w:tbl>
    <w:p>
      <w:r>
        <w:rPr>
          <w:rFonts w:ascii="Times New Roman" w:hAnsi="Times New Roman"/>
          <w:b w:val="0"/>
          <w:i w:val="0"/>
        </w:rPr>
        <w:t>VERDICT 1 - the pose-geometry claim fails and is withdrawn. The pose-graph GNN scores 0.782 mean AUROC - BELOW the 2D bond-graph GNN (0.902) and below BOTH of its own coordinate controls (random coordinates 0.831, scaffold-shuffled coordinates 0.830). The preregistered gate required the pose model to strictly exceed the 2D graph AND both controls; it fails on every count, and the seed-0 DeLong tests give no edge anywhere (pose vs 2D p = 0.40; pose vs random coordinates p = 1.00; pose vs shuffled p = 0.82). The pilot finding at n = 15 - that pose geometry carries nearly all of the recoverable signal - does not survive scaffold-grouped evaluation at n = 59 and is retired as small-n luck. Every claim in this paper that rested on pose-geometry superiority (the 'recovery curve' framing included) is withdrawn to that extent. What survives is learned rescoring itself: EVERY learned family beats the raw engine by roughly 0.4 AUROC on the same labels and splits.</w:t>
      </w:r>
    </w:p>
    <w:p>
      <w:r>
        <w:rPr>
          <w:rFonts w:ascii="Times New Roman" w:hAnsi="Times New Roman"/>
          <w:b w:val="0"/>
          <w:i w:val="0"/>
        </w:rPr>
        <w:t>VERDICT 2 - no Vina leakage. The descriptor MLP trained WITHOUT the Vina-derived feature scores 0.915, against 0.921 with it. The preregistered leakage gate (&gt;0.05 drop without the feature would have meant the scaffold-split result rides on the engine's own score) is not triggered: the actual drop is 0.006. The learned-rescoring verdict is not Vina-leakage-driven.</w:t>
      </w:r>
    </w:p>
    <w:p>
      <w:r>
        <w:rPr>
          <w:rFonts w:ascii="Times New Roman" w:hAnsi="Times New Roman"/>
          <w:b w:val="0"/>
          <w:i w:val="0"/>
        </w:rPr>
        <w:t>VERDICT 3 - the harness is sane, and fusion is descriptive only. The 2D-GNN on randomized labels sits at 0.525 mean AUROC (worst split 0.625, preregistered bound 0.65): the pipeline does not invent separation where none exists. The fusion model is the numerically best scorer (0.931) but is within noise of the plain descriptor MLP (seed-0 DeLong fusion vs pose p = 0.37, the only preregistered fusion comparison, is not decisive), so the fusion number is reported descriptively with no superiority claim. The honest headline at n = 59: learned rescoring - any learned family - beats the physics-empirical engine; the choice among learned architectures is undecided at this n, and the pose graph in particular confers no measurable advantage.</w:t>
      </w:r>
    </w:p>
    <w:p>
      <w:r>
        <w:rPr>
          <w:rFonts w:ascii="Times New Roman" w:hAnsi="Times New Roman"/>
          <w:b w:val="0"/>
          <w:i/>
        </w:rPr>
        <w:t>Table 2d. Post-outcome paired DeLong 95% CIs (normal approximation, unbounded) for the four predeclared seed-0 contrasts, on the n = 14 pose-available held-out subset (9 positives, 5 negatives) - a single split, NOT an all-pairs grid and not CIs for the five-split means.</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shd w:val="clear" w:fill="DCE6F1"/>
          </w:tcPr>
          <w:p>
            <w:r>
              <w:rPr>
                <w:rFonts w:ascii="Times New Roman" w:hAnsi="Times New Roman"/>
                <w:b/>
                <w:sz w:val="19"/>
              </w:rPr>
              <w:t>contrast</w:t>
            </w:r>
          </w:p>
        </w:tc>
        <w:tc>
          <w:tcPr>
            <w:tcW w:type="dxa" w:w="1814"/>
            <w:shd w:val="clear" w:fill="DCE6F1"/>
          </w:tcPr>
          <w:p>
            <w:r>
              <w:rPr>
                <w:rFonts w:ascii="Times New Roman" w:hAnsi="Times New Roman"/>
                <w:b/>
                <w:sz w:val="19"/>
              </w:rPr>
              <w:t>AUROC A</w:t>
            </w:r>
          </w:p>
        </w:tc>
        <w:tc>
          <w:tcPr>
            <w:tcW w:type="dxa" w:w="1814"/>
            <w:shd w:val="clear" w:fill="DCE6F1"/>
          </w:tcPr>
          <w:p>
            <w:r>
              <w:rPr>
                <w:rFonts w:ascii="Times New Roman" w:hAnsi="Times New Roman"/>
                <w:b/>
                <w:sz w:val="19"/>
              </w:rPr>
              <w:t>AUROC B</w:t>
            </w:r>
          </w:p>
        </w:tc>
        <w:tc>
          <w:tcPr>
            <w:tcW w:type="dxa" w:w="1814"/>
            <w:shd w:val="clear" w:fill="DCE6F1"/>
          </w:tcPr>
          <w:p>
            <w:r>
              <w:rPr>
                <w:rFonts w:ascii="Times New Roman" w:hAnsi="Times New Roman"/>
                <w:b/>
                <w:sz w:val="19"/>
              </w:rPr>
              <w:t>diff (A - B)</w:t>
            </w:r>
          </w:p>
        </w:tc>
        <w:tc>
          <w:tcPr>
            <w:tcW w:type="dxa" w:w="1814"/>
            <w:shd w:val="clear" w:fill="DCE6F1"/>
          </w:tcPr>
          <w:p>
            <w:r>
              <w:rPr>
                <w:rFonts w:ascii="Times New Roman" w:hAnsi="Times New Roman"/>
                <w:b/>
                <w:sz w:val="19"/>
              </w:rPr>
              <w:t>95% CI (DeLong)</w:t>
            </w:r>
          </w:p>
        </w:tc>
      </w:tr>
      <w:tr>
        <w:tc>
          <w:tcPr>
            <w:tcW w:type="dxa" w:w="1814"/>
          </w:tcPr>
          <w:p>
            <w:r>
              <w:rPr>
                <w:rFonts w:ascii="Times New Roman" w:hAnsi="Times New Roman"/>
                <w:sz w:val="19"/>
              </w:rPr>
              <w:t>pose GNN vs 2D GNN</w:t>
            </w:r>
          </w:p>
        </w:tc>
        <w:tc>
          <w:tcPr>
            <w:tcW w:type="dxa" w:w="1814"/>
          </w:tcPr>
          <w:p>
            <w:r>
              <w:rPr>
                <w:rFonts w:ascii="Times New Roman" w:hAnsi="Times New Roman"/>
                <w:sz w:val="19"/>
              </w:rPr>
              <w:t>0.933</w:t>
            </w:r>
          </w:p>
        </w:tc>
        <w:tc>
          <w:tcPr>
            <w:tcW w:type="dxa" w:w="1814"/>
          </w:tcPr>
          <w:p>
            <w:r>
              <w:rPr>
                <w:rFonts w:ascii="Times New Roman" w:hAnsi="Times New Roman"/>
                <w:sz w:val="19"/>
              </w:rPr>
              <w:t>0.978</w:t>
            </w:r>
          </w:p>
        </w:tc>
        <w:tc>
          <w:tcPr>
            <w:tcW w:type="dxa" w:w="1814"/>
          </w:tcPr>
          <w:p>
            <w:r>
              <w:rPr>
                <w:rFonts w:ascii="Times New Roman" w:hAnsi="Times New Roman"/>
                <w:sz w:val="19"/>
              </w:rPr>
              <w:t>-0.0444</w:t>
            </w:r>
          </w:p>
        </w:tc>
        <w:tc>
          <w:tcPr>
            <w:tcW w:type="dxa" w:w="1814"/>
          </w:tcPr>
          <w:p>
            <w:r>
              <w:rPr>
                <w:rFonts w:ascii="Times New Roman" w:hAnsi="Times New Roman"/>
                <w:sz w:val="19"/>
              </w:rPr>
              <w:t>[-0.1489, +0.0600]</w:t>
            </w:r>
          </w:p>
        </w:tc>
      </w:tr>
      <w:tr>
        <w:tc>
          <w:tcPr>
            <w:tcW w:type="dxa" w:w="1814"/>
          </w:tcPr>
          <w:p>
            <w:r>
              <w:rPr>
                <w:rFonts w:ascii="Times New Roman" w:hAnsi="Times New Roman"/>
                <w:sz w:val="19"/>
              </w:rPr>
              <w:t>pose GNN vs random-coord pose GNN</w:t>
            </w:r>
          </w:p>
        </w:tc>
        <w:tc>
          <w:tcPr>
            <w:tcW w:type="dxa" w:w="1814"/>
          </w:tcPr>
          <w:p>
            <w:r>
              <w:rPr>
                <w:rFonts w:ascii="Times New Roman" w:hAnsi="Times New Roman"/>
                <w:sz w:val="19"/>
              </w:rPr>
              <w:t>0.933</w:t>
            </w:r>
          </w:p>
        </w:tc>
        <w:tc>
          <w:tcPr>
            <w:tcW w:type="dxa" w:w="1814"/>
          </w:tcPr>
          <w:p>
            <w:r>
              <w:rPr>
                <w:rFonts w:ascii="Times New Roman" w:hAnsi="Times New Roman"/>
                <w:sz w:val="19"/>
              </w:rPr>
              <w:t>0.933</w:t>
            </w:r>
          </w:p>
        </w:tc>
        <w:tc>
          <w:tcPr>
            <w:tcW w:type="dxa" w:w="1814"/>
          </w:tcPr>
          <w:p>
            <w:r>
              <w:rPr>
                <w:rFonts w:ascii="Times New Roman" w:hAnsi="Times New Roman"/>
                <w:sz w:val="19"/>
              </w:rPr>
              <w:t>+0.0000</w:t>
            </w:r>
          </w:p>
        </w:tc>
        <w:tc>
          <w:tcPr>
            <w:tcW w:type="dxa" w:w="1814"/>
          </w:tcPr>
          <w:p>
            <w:r>
              <w:rPr>
                <w:rFonts w:ascii="Times New Roman" w:hAnsi="Times New Roman"/>
                <w:sz w:val="19"/>
              </w:rPr>
              <w:t>[-0.1644, +0.1644]</w:t>
            </w:r>
          </w:p>
        </w:tc>
      </w:tr>
      <w:tr>
        <w:tc>
          <w:tcPr>
            <w:tcW w:type="dxa" w:w="1814"/>
          </w:tcPr>
          <w:p>
            <w:r>
              <w:rPr>
                <w:rFonts w:ascii="Times New Roman" w:hAnsi="Times New Roman"/>
                <w:sz w:val="19"/>
              </w:rPr>
              <w:t>fusion vs pose GNN</w:t>
            </w:r>
          </w:p>
        </w:tc>
        <w:tc>
          <w:tcPr>
            <w:tcW w:type="dxa" w:w="1814"/>
          </w:tcPr>
          <w:p>
            <w:r>
              <w:rPr>
                <w:rFonts w:ascii="Times New Roman" w:hAnsi="Times New Roman"/>
                <w:sz w:val="19"/>
              </w:rPr>
              <w:t>1.000</w:t>
            </w:r>
          </w:p>
        </w:tc>
        <w:tc>
          <w:tcPr>
            <w:tcW w:type="dxa" w:w="1814"/>
          </w:tcPr>
          <w:p>
            <w:r>
              <w:rPr>
                <w:rFonts w:ascii="Times New Roman" w:hAnsi="Times New Roman"/>
                <w:sz w:val="19"/>
              </w:rPr>
              <w:t>0.933</w:t>
            </w:r>
          </w:p>
        </w:tc>
        <w:tc>
          <w:tcPr>
            <w:tcW w:type="dxa" w:w="1814"/>
          </w:tcPr>
          <w:p>
            <w:r>
              <w:rPr>
                <w:rFonts w:ascii="Times New Roman" w:hAnsi="Times New Roman"/>
                <w:sz w:val="19"/>
              </w:rPr>
              <w:t>+0.0667</w:t>
            </w:r>
          </w:p>
        </w:tc>
        <w:tc>
          <w:tcPr>
            <w:tcW w:type="dxa" w:w="1814"/>
          </w:tcPr>
          <w:p>
            <w:r>
              <w:rPr>
                <w:rFonts w:ascii="Times New Roman" w:hAnsi="Times New Roman"/>
                <w:sz w:val="19"/>
              </w:rPr>
              <w:t>[-0.0794, +0.2128]</w:t>
            </w:r>
          </w:p>
        </w:tc>
      </w:tr>
      <w:tr>
        <w:tc>
          <w:tcPr>
            <w:tcW w:type="dxa" w:w="1814"/>
          </w:tcPr>
          <w:p>
            <w:r>
              <w:rPr>
                <w:rFonts w:ascii="Times New Roman" w:hAnsi="Times New Roman"/>
                <w:sz w:val="19"/>
              </w:rPr>
              <w:t>pose GNN vs shuffled-coord pose GNN</w:t>
            </w:r>
          </w:p>
        </w:tc>
        <w:tc>
          <w:tcPr>
            <w:tcW w:type="dxa" w:w="1814"/>
          </w:tcPr>
          <w:p>
            <w:r>
              <w:rPr>
                <w:rFonts w:ascii="Times New Roman" w:hAnsi="Times New Roman"/>
                <w:sz w:val="19"/>
              </w:rPr>
              <w:t>0.933</w:t>
            </w:r>
          </w:p>
        </w:tc>
        <w:tc>
          <w:tcPr>
            <w:tcW w:type="dxa" w:w="1814"/>
          </w:tcPr>
          <w:p>
            <w:r>
              <w:rPr>
                <w:rFonts w:ascii="Times New Roman" w:hAnsi="Times New Roman"/>
                <w:sz w:val="19"/>
              </w:rPr>
              <w:t>0.956</w:t>
            </w:r>
          </w:p>
        </w:tc>
        <w:tc>
          <w:tcPr>
            <w:tcW w:type="dxa" w:w="1814"/>
          </w:tcPr>
          <w:p>
            <w:r>
              <w:rPr>
                <w:rFonts w:ascii="Times New Roman" w:hAnsi="Times New Roman"/>
                <w:sz w:val="19"/>
              </w:rPr>
              <w:t>-0.0222</w:t>
            </w:r>
          </w:p>
        </w:tc>
        <w:tc>
          <w:tcPr>
            <w:tcW w:type="dxa" w:w="1814"/>
          </w:tcPr>
          <w:p>
            <w:r>
              <w:rPr>
                <w:rFonts w:ascii="Times New Roman" w:hAnsi="Times New Roman"/>
                <w:sz w:val="19"/>
              </w:rPr>
              <w:t>[-0.2133, +0.1689]</w:t>
            </w:r>
          </w:p>
        </w:tc>
      </w:tr>
    </w:tbl>
    <w:p>
      <w:r>
        <w:rPr>
          <w:rFonts w:ascii="Times New Roman" w:hAnsi="Times New Roman"/>
          <w:b w:val="0"/>
          <w:i w:val="0"/>
        </w:rPr>
        <w:t>Every interval crosses zero, consistent with the failed gates above: at n = 14 on a single seed-0 split none of the four predeclared contrasts is resolvable. The intervals are wide (half-widths 0.10-0.19 AUROC), so they exclude only large effects in either direction; they are reported so the undecided architecture choice carries an explicit uncertainty statement rather than bare p-values. These are exploratory post-outcome intervals - they do not reopen the preregistered gates, which stand as failed.</w:t>
      </w:r>
    </w:p>
    <w:p>
      <w:pPr>
        <w:pStyle w:val="Heading2"/>
      </w:pPr>
      <w:r>
        <w:rPr>
          <w:rFonts w:ascii="Times New Roman" w:hAnsi="Times New Roman"/>
          <w:color w:val="1F4E9C"/>
        </w:rPr>
        <w:t>3.4 MPRO-D1: a de novo candidate with a novelty record</w:t>
      </w:r>
    </w:p>
    <w:p>
      <w:r>
        <w:rPr>
          <w:rFonts w:ascii="Times New Roman" w:hAnsi="Times New Roman"/>
          <w:b w:val="0"/>
          <w:i w:val="0"/>
        </w:rPr>
        <w:t>The 38-member enumerated library produced a clear winner. MPRO-D1 (biphenyl-amide core) docks at -8.76 kcal/mol under the validated protocol, with ligand efficiency -0.274 and Tanimoto distance 1 - 0.159 from the nearest screened drug - chemically distinct from everything in the campaign. It does not out-dock the best screened drug (nilotinib, -9.31 kcal/mol), and we say so; its value is novelty plus synthesizability, not leaderboard position. Novelty was verified live: the exact structure is absent from PubChem (identity lookup returns no record), while close analogs exist at &gt;= 0.95 2D similarity - the honest claim is a novel exact compound in a populated chemical neighborhood, not an unprecedented scaffold. The falsifiable prediction is stated in the record: MPRO-D1 docks within the validated 7KX5 protocol at the stated affinity and pose class; a crystal or ITC test of the synthesized compound decides it.</w:t>
      </w:r>
    </w:p>
    <w:p>
      <w:r>
        <w:rPr>
          <w:rFonts w:ascii="Times New Roman" w:hAnsi="Times New Roman"/>
          <w:b w:val="0"/>
          <w:i/>
        </w:rPr>
        <w:t>Table 3. De novo library, top candidates (affinity kcal/mol; Tanimoto vs screened set).</w:t>
      </w:r>
    </w:p>
    <w:tbl>
      <w:tblPr>
        <w:tblStyle w:val="TableGrid"/>
        <w:tblW w:type="auto" w:w="0"/>
        <w:tblLook w:firstColumn="1" w:firstRow="1" w:lastColumn="0" w:lastRow="0" w:noHBand="0" w:noVBand="1" w:val="04A0"/>
      </w:tblPr>
      <w:tblGrid>
        <w:gridCol w:w="1512"/>
        <w:gridCol w:w="1512"/>
        <w:gridCol w:w="1512"/>
        <w:gridCol w:w="1512"/>
        <w:gridCol w:w="1512"/>
        <w:gridCol w:w="1512"/>
      </w:tblGrid>
      <w:tr>
        <w:tc>
          <w:tcPr>
            <w:tcW w:type="dxa" w:w="1512"/>
            <w:shd w:val="clear" w:fill="DCE6F1"/>
          </w:tcPr>
          <w:p>
            <w:r>
              <w:rPr>
                <w:rFonts w:ascii="Times New Roman" w:hAnsi="Times New Roman"/>
                <w:b/>
                <w:sz w:val="19"/>
              </w:rPr>
              <w:t>rank</w:t>
            </w:r>
          </w:p>
        </w:tc>
        <w:tc>
          <w:tcPr>
            <w:tcW w:type="dxa" w:w="1512"/>
            <w:shd w:val="clear" w:fill="DCE6F1"/>
          </w:tcPr>
          <w:p>
            <w:r>
              <w:rPr>
                <w:rFonts w:ascii="Times New Roman" w:hAnsi="Times New Roman"/>
                <w:b/>
                <w:sz w:val="19"/>
              </w:rPr>
              <w:t>core</w:t>
            </w:r>
          </w:p>
        </w:tc>
        <w:tc>
          <w:tcPr>
            <w:tcW w:type="dxa" w:w="1512"/>
            <w:shd w:val="clear" w:fill="DCE6F1"/>
          </w:tcPr>
          <w:p>
            <w:r>
              <w:rPr>
                <w:rFonts w:ascii="Times New Roman" w:hAnsi="Times New Roman"/>
                <w:b/>
                <w:sz w:val="19"/>
              </w:rPr>
              <w:t>affinity</w:t>
            </w:r>
          </w:p>
        </w:tc>
        <w:tc>
          <w:tcPr>
            <w:tcW w:type="dxa" w:w="1512"/>
            <w:shd w:val="clear" w:fill="DCE6F1"/>
          </w:tcPr>
          <w:p>
            <w:r>
              <w:rPr>
                <w:rFonts w:ascii="Times New Roman" w:hAnsi="Times New Roman"/>
                <w:b/>
                <w:sz w:val="19"/>
              </w:rPr>
              <w:t>Tanimoto max</w:t>
            </w:r>
          </w:p>
        </w:tc>
        <w:tc>
          <w:tcPr>
            <w:tcW w:type="dxa" w:w="1512"/>
            <w:shd w:val="clear" w:fill="DCE6F1"/>
          </w:tcPr>
          <w:p>
            <w:r>
              <w:rPr>
                <w:rFonts w:ascii="Times New Roman" w:hAnsi="Times New Roman"/>
                <w:b/>
                <w:sz w:val="19"/>
              </w:rPr>
              <w:t>lig. eff.</w:t>
            </w:r>
          </w:p>
        </w:tc>
        <w:tc>
          <w:tcPr>
            <w:tcW w:type="dxa" w:w="1512"/>
            <w:shd w:val="clear" w:fill="DCE6F1"/>
          </w:tcPr>
          <w:p>
            <w:r>
              <w:rPr>
                <w:rFonts w:ascii="Times New Roman" w:hAnsi="Times New Roman"/>
                <w:b/>
                <w:sz w:val="19"/>
              </w:rPr>
              <w:t>complexity</w:t>
            </w:r>
          </w:p>
        </w:tc>
      </w:tr>
      <w:tr>
        <w:tc>
          <w:tcPr>
            <w:tcW w:type="dxa" w:w="1512"/>
          </w:tcPr>
          <w:p>
            <w:r>
              <w:rPr>
                <w:rFonts w:ascii="Times New Roman" w:hAnsi="Times New Roman"/>
                <w:sz w:val="19"/>
              </w:rPr>
              <w:t>#1</w:t>
            </w:r>
          </w:p>
        </w:tc>
        <w:tc>
          <w:tcPr>
            <w:tcW w:type="dxa" w:w="1512"/>
          </w:tcPr>
          <w:p>
            <w:r>
              <w:rPr>
                <w:rFonts w:ascii="Times New Roman" w:hAnsi="Times New Roman"/>
                <w:sz w:val="19"/>
              </w:rPr>
              <w:t>biphenyl_amide</w:t>
            </w:r>
          </w:p>
        </w:tc>
        <w:tc>
          <w:tcPr>
            <w:tcW w:type="dxa" w:w="1512"/>
          </w:tcPr>
          <w:p>
            <w:r>
              <w:rPr>
                <w:rFonts w:ascii="Times New Roman" w:hAnsi="Times New Roman"/>
                <w:sz w:val="19"/>
              </w:rPr>
              <w:t>-8.76</w:t>
            </w:r>
          </w:p>
        </w:tc>
        <w:tc>
          <w:tcPr>
            <w:tcW w:type="dxa" w:w="1512"/>
          </w:tcPr>
          <w:p>
            <w:r>
              <w:rPr>
                <w:rFonts w:ascii="Times New Roman" w:hAnsi="Times New Roman"/>
                <w:sz w:val="19"/>
              </w:rPr>
              <w:t>0.16</w:t>
            </w:r>
          </w:p>
        </w:tc>
        <w:tc>
          <w:tcPr>
            <w:tcW w:type="dxa" w:w="1512"/>
          </w:tcPr>
          <w:p>
            <w:r>
              <w:rPr>
                <w:rFonts w:ascii="Times New Roman" w:hAnsi="Times New Roman"/>
                <w:sz w:val="19"/>
              </w:rPr>
              <w:t>-0.274</w:t>
            </w:r>
          </w:p>
        </w:tc>
        <w:tc>
          <w:tcPr>
            <w:tcW w:type="dxa" w:w="1512"/>
          </w:tcPr>
          <w:p>
            <w:r>
              <w:rPr>
                <w:rFonts w:ascii="Times New Roman" w:hAnsi="Times New Roman"/>
                <w:sz w:val="19"/>
              </w:rPr>
              <w:t>2.10</w:t>
            </w:r>
          </w:p>
        </w:tc>
      </w:tr>
      <w:tr>
        <w:tc>
          <w:tcPr>
            <w:tcW w:type="dxa" w:w="1512"/>
          </w:tcPr>
          <w:p>
            <w:r>
              <w:rPr>
                <w:rFonts w:ascii="Times New Roman" w:hAnsi="Times New Roman"/>
                <w:sz w:val="19"/>
              </w:rPr>
              <w:t>#2</w:t>
            </w:r>
          </w:p>
        </w:tc>
        <w:tc>
          <w:tcPr>
            <w:tcW w:type="dxa" w:w="1512"/>
          </w:tcPr>
          <w:p>
            <w:r>
              <w:rPr>
                <w:rFonts w:ascii="Times New Roman" w:hAnsi="Times New Roman"/>
                <w:sz w:val="19"/>
              </w:rPr>
              <w:t>pyridyl_amide</w:t>
            </w:r>
          </w:p>
        </w:tc>
        <w:tc>
          <w:tcPr>
            <w:tcW w:type="dxa" w:w="1512"/>
          </w:tcPr>
          <w:p>
            <w:r>
              <w:rPr>
                <w:rFonts w:ascii="Times New Roman" w:hAnsi="Times New Roman"/>
                <w:sz w:val="19"/>
              </w:rPr>
              <w:t>-8.57</w:t>
            </w:r>
          </w:p>
        </w:tc>
        <w:tc>
          <w:tcPr>
            <w:tcW w:type="dxa" w:w="1512"/>
          </w:tcPr>
          <w:p>
            <w:r>
              <w:rPr>
                <w:rFonts w:ascii="Times New Roman" w:hAnsi="Times New Roman"/>
                <w:sz w:val="19"/>
              </w:rPr>
              <w:t>0.19</w:t>
            </w:r>
          </w:p>
        </w:tc>
        <w:tc>
          <w:tcPr>
            <w:tcW w:type="dxa" w:w="1512"/>
          </w:tcPr>
          <w:p>
            <w:r>
              <w:rPr>
                <w:rFonts w:ascii="Times New Roman" w:hAnsi="Times New Roman"/>
                <w:sz w:val="19"/>
              </w:rPr>
              <w:t>-0.268</w:t>
            </w:r>
          </w:p>
        </w:tc>
        <w:tc>
          <w:tcPr>
            <w:tcW w:type="dxa" w:w="1512"/>
          </w:tcPr>
          <w:p>
            <w:r>
              <w:rPr>
                <w:rFonts w:ascii="Times New Roman" w:hAnsi="Times New Roman"/>
                <w:sz w:val="19"/>
              </w:rPr>
              <w:t>2.16</w:t>
            </w:r>
          </w:p>
        </w:tc>
      </w:tr>
      <w:tr>
        <w:tc>
          <w:tcPr>
            <w:tcW w:type="dxa" w:w="1512"/>
          </w:tcPr>
          <w:p>
            <w:r>
              <w:rPr>
                <w:rFonts w:ascii="Times New Roman" w:hAnsi="Times New Roman"/>
                <w:sz w:val="19"/>
              </w:rPr>
              <w:t>#3</w:t>
            </w:r>
          </w:p>
        </w:tc>
        <w:tc>
          <w:tcPr>
            <w:tcW w:type="dxa" w:w="1512"/>
          </w:tcPr>
          <w:p>
            <w:r>
              <w:rPr>
                <w:rFonts w:ascii="Times New Roman" w:hAnsi="Times New Roman"/>
                <w:sz w:val="19"/>
              </w:rPr>
              <w:t>naphthyl_amide</w:t>
            </w:r>
          </w:p>
        </w:tc>
        <w:tc>
          <w:tcPr>
            <w:tcW w:type="dxa" w:w="1512"/>
          </w:tcPr>
          <w:p>
            <w:r>
              <w:rPr>
                <w:rFonts w:ascii="Times New Roman" w:hAnsi="Times New Roman"/>
                <w:sz w:val="19"/>
              </w:rPr>
              <w:t>-8.37</w:t>
            </w:r>
          </w:p>
        </w:tc>
        <w:tc>
          <w:tcPr>
            <w:tcW w:type="dxa" w:w="1512"/>
          </w:tcPr>
          <w:p>
            <w:r>
              <w:rPr>
                <w:rFonts w:ascii="Times New Roman" w:hAnsi="Times New Roman"/>
                <w:sz w:val="19"/>
              </w:rPr>
              <w:t>0.22</w:t>
            </w:r>
          </w:p>
        </w:tc>
        <w:tc>
          <w:tcPr>
            <w:tcW w:type="dxa" w:w="1512"/>
          </w:tcPr>
          <w:p>
            <w:r>
              <w:rPr>
                <w:rFonts w:ascii="Times New Roman" w:hAnsi="Times New Roman"/>
                <w:sz w:val="19"/>
              </w:rPr>
              <w:t>-0.322</w:t>
            </w:r>
          </w:p>
        </w:tc>
        <w:tc>
          <w:tcPr>
            <w:tcW w:type="dxa" w:w="1512"/>
          </w:tcPr>
          <w:p>
            <w:r>
              <w:rPr>
                <w:rFonts w:ascii="Times New Roman" w:hAnsi="Times New Roman"/>
                <w:sz w:val="19"/>
              </w:rPr>
              <w:t>2.00</w:t>
            </w:r>
          </w:p>
        </w:tc>
      </w:tr>
      <w:tr>
        <w:tc>
          <w:tcPr>
            <w:tcW w:type="dxa" w:w="1512"/>
          </w:tcPr>
          <w:p>
            <w:r>
              <w:rPr>
                <w:rFonts w:ascii="Times New Roman" w:hAnsi="Times New Roman"/>
                <w:sz w:val="19"/>
              </w:rPr>
              <w:t>#4</w:t>
            </w:r>
          </w:p>
        </w:tc>
        <w:tc>
          <w:tcPr>
            <w:tcW w:type="dxa" w:w="1512"/>
          </w:tcPr>
          <w:p>
            <w:r>
              <w:rPr>
                <w:rFonts w:ascii="Times New Roman" w:hAnsi="Times New Roman"/>
                <w:sz w:val="19"/>
              </w:rPr>
              <w:t>biphenyl_amide</w:t>
            </w:r>
          </w:p>
        </w:tc>
        <w:tc>
          <w:tcPr>
            <w:tcW w:type="dxa" w:w="1512"/>
          </w:tcPr>
          <w:p>
            <w:r>
              <w:rPr>
                <w:rFonts w:ascii="Times New Roman" w:hAnsi="Times New Roman"/>
                <w:sz w:val="19"/>
              </w:rPr>
              <w:t>-8.36</w:t>
            </w:r>
          </w:p>
        </w:tc>
        <w:tc>
          <w:tcPr>
            <w:tcW w:type="dxa" w:w="1512"/>
          </w:tcPr>
          <w:p>
            <w:r>
              <w:rPr>
                <w:rFonts w:ascii="Times New Roman" w:hAnsi="Times New Roman"/>
                <w:sz w:val="19"/>
              </w:rPr>
              <w:t>0.16</w:t>
            </w:r>
          </w:p>
        </w:tc>
        <w:tc>
          <w:tcPr>
            <w:tcW w:type="dxa" w:w="1512"/>
          </w:tcPr>
          <w:p>
            <w:r>
              <w:rPr>
                <w:rFonts w:ascii="Times New Roman" w:hAnsi="Times New Roman"/>
                <w:sz w:val="19"/>
              </w:rPr>
              <w:t>-0.261</w:t>
            </w:r>
          </w:p>
        </w:tc>
        <w:tc>
          <w:tcPr>
            <w:tcW w:type="dxa" w:w="1512"/>
          </w:tcPr>
          <w:p>
            <w:r>
              <w:rPr>
                <w:rFonts w:ascii="Times New Roman" w:hAnsi="Times New Roman"/>
                <w:sz w:val="19"/>
              </w:rPr>
              <w:t>2.10</w:t>
            </w:r>
          </w:p>
        </w:tc>
      </w:tr>
      <w:tr>
        <w:tc>
          <w:tcPr>
            <w:tcW w:type="dxa" w:w="1512"/>
          </w:tcPr>
          <w:p>
            <w:r>
              <w:rPr>
                <w:rFonts w:ascii="Times New Roman" w:hAnsi="Times New Roman"/>
                <w:sz w:val="19"/>
              </w:rPr>
              <w:t>#5</w:t>
            </w:r>
          </w:p>
        </w:tc>
        <w:tc>
          <w:tcPr>
            <w:tcW w:type="dxa" w:w="1512"/>
          </w:tcPr>
          <w:p>
            <w:r>
              <w:rPr>
                <w:rFonts w:ascii="Times New Roman" w:hAnsi="Times New Roman"/>
                <w:sz w:val="19"/>
              </w:rPr>
              <w:t>naphthyl_amide</w:t>
            </w:r>
          </w:p>
        </w:tc>
        <w:tc>
          <w:tcPr>
            <w:tcW w:type="dxa" w:w="1512"/>
          </w:tcPr>
          <w:p>
            <w:r>
              <w:rPr>
                <w:rFonts w:ascii="Times New Roman" w:hAnsi="Times New Roman"/>
                <w:sz w:val="19"/>
              </w:rPr>
              <w:t>-8.27</w:t>
            </w:r>
          </w:p>
        </w:tc>
        <w:tc>
          <w:tcPr>
            <w:tcW w:type="dxa" w:w="1512"/>
          </w:tcPr>
          <w:p>
            <w:r>
              <w:rPr>
                <w:rFonts w:ascii="Times New Roman" w:hAnsi="Times New Roman"/>
                <w:sz w:val="19"/>
              </w:rPr>
              <w:t>0.17</w:t>
            </w:r>
          </w:p>
        </w:tc>
        <w:tc>
          <w:tcPr>
            <w:tcW w:type="dxa" w:w="1512"/>
          </w:tcPr>
          <w:p>
            <w:r>
              <w:rPr>
                <w:rFonts w:ascii="Times New Roman" w:hAnsi="Times New Roman"/>
                <w:sz w:val="19"/>
              </w:rPr>
              <w:t>-0.318</w:t>
            </w:r>
          </w:p>
        </w:tc>
        <w:tc>
          <w:tcPr>
            <w:tcW w:type="dxa" w:w="1512"/>
          </w:tcPr>
          <w:p>
            <w:r>
              <w:rPr>
                <w:rFonts w:ascii="Times New Roman" w:hAnsi="Times New Roman"/>
                <w:sz w:val="19"/>
              </w:rPr>
              <w:t>2.08</w:t>
            </w:r>
          </w:p>
        </w:tc>
      </w:tr>
      <w:tr>
        <w:tc>
          <w:tcPr>
            <w:tcW w:type="dxa" w:w="1512"/>
          </w:tcPr>
          <w:p>
            <w:r>
              <w:rPr>
                <w:rFonts w:ascii="Times New Roman" w:hAnsi="Times New Roman"/>
                <w:sz w:val="19"/>
              </w:rPr>
              <w:t>#6</w:t>
            </w:r>
          </w:p>
        </w:tc>
        <w:tc>
          <w:tcPr>
            <w:tcW w:type="dxa" w:w="1512"/>
          </w:tcPr>
          <w:p>
            <w:r>
              <w:rPr>
                <w:rFonts w:ascii="Times New Roman" w:hAnsi="Times New Roman"/>
                <w:sz w:val="19"/>
              </w:rPr>
              <w:t>biphenyl_amide</w:t>
            </w:r>
          </w:p>
        </w:tc>
        <w:tc>
          <w:tcPr>
            <w:tcW w:type="dxa" w:w="1512"/>
          </w:tcPr>
          <w:p>
            <w:r>
              <w:rPr>
                <w:rFonts w:ascii="Times New Roman" w:hAnsi="Times New Roman"/>
                <w:sz w:val="19"/>
              </w:rPr>
              <w:t>-8.23</w:t>
            </w:r>
          </w:p>
        </w:tc>
        <w:tc>
          <w:tcPr>
            <w:tcW w:type="dxa" w:w="1512"/>
          </w:tcPr>
          <w:p>
            <w:r>
              <w:rPr>
                <w:rFonts w:ascii="Times New Roman" w:hAnsi="Times New Roman"/>
                <w:sz w:val="19"/>
              </w:rPr>
              <w:t>0.20</w:t>
            </w:r>
          </w:p>
        </w:tc>
        <w:tc>
          <w:tcPr>
            <w:tcW w:type="dxa" w:w="1512"/>
          </w:tcPr>
          <w:p>
            <w:r>
              <w:rPr>
                <w:rFonts w:ascii="Times New Roman" w:hAnsi="Times New Roman"/>
                <w:sz w:val="19"/>
              </w:rPr>
              <w:t>-0.249</w:t>
            </w:r>
          </w:p>
        </w:tc>
        <w:tc>
          <w:tcPr>
            <w:tcW w:type="dxa" w:w="1512"/>
          </w:tcPr>
          <w:p>
            <w:r>
              <w:rPr>
                <w:rFonts w:ascii="Times New Roman" w:hAnsi="Times New Roman"/>
                <w:sz w:val="19"/>
              </w:rPr>
              <w:t>2.09</w:t>
            </w:r>
          </w:p>
        </w:tc>
      </w:tr>
      <w:tr>
        <w:tc>
          <w:tcPr>
            <w:tcW w:type="dxa" w:w="1512"/>
          </w:tcPr>
          <w:p>
            <w:r>
              <w:rPr>
                <w:rFonts w:ascii="Times New Roman" w:hAnsi="Times New Roman"/>
                <w:sz w:val="19"/>
              </w:rPr>
              <w:t>#7</w:t>
            </w:r>
          </w:p>
        </w:tc>
        <w:tc>
          <w:tcPr>
            <w:tcW w:type="dxa" w:w="1512"/>
          </w:tcPr>
          <w:p>
            <w:r>
              <w:rPr>
                <w:rFonts w:ascii="Times New Roman" w:hAnsi="Times New Roman"/>
                <w:sz w:val="19"/>
              </w:rPr>
              <w:t>naphthyl_amide</w:t>
            </w:r>
          </w:p>
        </w:tc>
        <w:tc>
          <w:tcPr>
            <w:tcW w:type="dxa" w:w="1512"/>
          </w:tcPr>
          <w:p>
            <w:r>
              <w:rPr>
                <w:rFonts w:ascii="Times New Roman" w:hAnsi="Times New Roman"/>
                <w:sz w:val="19"/>
              </w:rPr>
              <w:t>-8.21</w:t>
            </w:r>
          </w:p>
        </w:tc>
        <w:tc>
          <w:tcPr>
            <w:tcW w:type="dxa" w:w="1512"/>
          </w:tcPr>
          <w:p>
            <w:r>
              <w:rPr>
                <w:rFonts w:ascii="Times New Roman" w:hAnsi="Times New Roman"/>
                <w:sz w:val="19"/>
              </w:rPr>
              <w:t>0.18</w:t>
            </w:r>
          </w:p>
        </w:tc>
        <w:tc>
          <w:tcPr>
            <w:tcW w:type="dxa" w:w="1512"/>
          </w:tcPr>
          <w:p>
            <w:r>
              <w:rPr>
                <w:rFonts w:ascii="Times New Roman" w:hAnsi="Times New Roman"/>
                <w:sz w:val="19"/>
              </w:rPr>
              <w:t>-0.328</w:t>
            </w:r>
          </w:p>
        </w:tc>
        <w:tc>
          <w:tcPr>
            <w:tcW w:type="dxa" w:w="1512"/>
          </w:tcPr>
          <w:p>
            <w:r>
              <w:rPr>
                <w:rFonts w:ascii="Times New Roman" w:hAnsi="Times New Roman"/>
                <w:sz w:val="19"/>
              </w:rPr>
              <w:t>2.09</w:t>
            </w:r>
          </w:p>
        </w:tc>
      </w:tr>
      <w:tr>
        <w:tc>
          <w:tcPr>
            <w:tcW w:type="dxa" w:w="1512"/>
          </w:tcPr>
          <w:p>
            <w:r>
              <w:rPr>
                <w:rFonts w:ascii="Times New Roman" w:hAnsi="Times New Roman"/>
                <w:sz w:val="19"/>
              </w:rPr>
              <w:t>#8</w:t>
            </w:r>
          </w:p>
        </w:tc>
        <w:tc>
          <w:tcPr>
            <w:tcW w:type="dxa" w:w="1512"/>
          </w:tcPr>
          <w:p>
            <w:r>
              <w:rPr>
                <w:rFonts w:ascii="Times New Roman" w:hAnsi="Times New Roman"/>
                <w:sz w:val="19"/>
              </w:rPr>
              <w:t>pyridyl_amide</w:t>
            </w:r>
          </w:p>
        </w:tc>
        <w:tc>
          <w:tcPr>
            <w:tcW w:type="dxa" w:w="1512"/>
          </w:tcPr>
          <w:p>
            <w:r>
              <w:rPr>
                <w:rFonts w:ascii="Times New Roman" w:hAnsi="Times New Roman"/>
                <w:sz w:val="19"/>
              </w:rPr>
              <w:t>-8.19</w:t>
            </w:r>
          </w:p>
        </w:tc>
        <w:tc>
          <w:tcPr>
            <w:tcW w:type="dxa" w:w="1512"/>
          </w:tcPr>
          <w:p>
            <w:r>
              <w:rPr>
                <w:rFonts w:ascii="Times New Roman" w:hAnsi="Times New Roman"/>
                <w:sz w:val="19"/>
              </w:rPr>
              <w:t>0.20</w:t>
            </w:r>
          </w:p>
        </w:tc>
        <w:tc>
          <w:tcPr>
            <w:tcW w:type="dxa" w:w="1512"/>
          </w:tcPr>
          <w:p>
            <w:r>
              <w:rPr>
                <w:rFonts w:ascii="Times New Roman" w:hAnsi="Times New Roman"/>
                <w:sz w:val="19"/>
              </w:rPr>
              <w:t>-0.256</w:t>
            </w:r>
          </w:p>
        </w:tc>
        <w:tc>
          <w:tcPr>
            <w:tcW w:type="dxa" w:w="1512"/>
          </w:tcPr>
          <w:p>
            <w:r>
              <w:rPr>
                <w:rFonts w:ascii="Times New Roman" w:hAnsi="Times New Roman"/>
                <w:sz w:val="19"/>
              </w:rPr>
              <w:t>2.16</w:t>
            </w:r>
          </w:p>
        </w:tc>
      </w:tr>
      <w:tr>
        <w:tc>
          <w:tcPr>
            <w:tcW w:type="dxa" w:w="1512"/>
          </w:tcPr>
          <w:p>
            <w:r>
              <w:rPr>
                <w:rFonts w:ascii="Times New Roman" w:hAnsi="Times New Roman"/>
                <w:sz w:val="19"/>
              </w:rPr>
              <w:t>#9</w:t>
            </w:r>
          </w:p>
        </w:tc>
        <w:tc>
          <w:tcPr>
            <w:tcW w:type="dxa" w:w="1512"/>
          </w:tcPr>
          <w:p>
            <w:r>
              <w:rPr>
                <w:rFonts w:ascii="Times New Roman" w:hAnsi="Times New Roman"/>
                <w:sz w:val="19"/>
              </w:rPr>
              <w:t>naphthyl_amide</w:t>
            </w:r>
          </w:p>
        </w:tc>
        <w:tc>
          <w:tcPr>
            <w:tcW w:type="dxa" w:w="1512"/>
          </w:tcPr>
          <w:p>
            <w:r>
              <w:rPr>
                <w:rFonts w:ascii="Times New Roman" w:hAnsi="Times New Roman"/>
                <w:sz w:val="19"/>
              </w:rPr>
              <w:t>-8.19</w:t>
            </w:r>
          </w:p>
        </w:tc>
        <w:tc>
          <w:tcPr>
            <w:tcW w:type="dxa" w:w="1512"/>
          </w:tcPr>
          <w:p>
            <w:r>
              <w:rPr>
                <w:rFonts w:ascii="Times New Roman" w:hAnsi="Times New Roman"/>
                <w:sz w:val="19"/>
              </w:rPr>
              <w:t>0.18</w:t>
            </w:r>
          </w:p>
        </w:tc>
        <w:tc>
          <w:tcPr>
            <w:tcW w:type="dxa" w:w="1512"/>
          </w:tcPr>
          <w:p>
            <w:r>
              <w:rPr>
                <w:rFonts w:ascii="Times New Roman" w:hAnsi="Times New Roman"/>
                <w:sz w:val="19"/>
              </w:rPr>
              <w:t>-0.328</w:t>
            </w:r>
          </w:p>
        </w:tc>
        <w:tc>
          <w:tcPr>
            <w:tcW w:type="dxa" w:w="1512"/>
          </w:tcPr>
          <w:p>
            <w:r>
              <w:rPr>
                <w:rFonts w:ascii="Times New Roman" w:hAnsi="Times New Roman"/>
                <w:sz w:val="19"/>
              </w:rPr>
              <w:t>2.00</w:t>
            </w:r>
          </w:p>
        </w:tc>
      </w:tr>
      <w:tr>
        <w:tc>
          <w:tcPr>
            <w:tcW w:type="dxa" w:w="1512"/>
          </w:tcPr>
          <w:p>
            <w:r>
              <w:rPr>
                <w:rFonts w:ascii="Times New Roman" w:hAnsi="Times New Roman"/>
                <w:sz w:val="19"/>
              </w:rPr>
              <w:t>#10</w:t>
            </w:r>
          </w:p>
        </w:tc>
        <w:tc>
          <w:tcPr>
            <w:tcW w:type="dxa" w:w="1512"/>
          </w:tcPr>
          <w:p>
            <w:r>
              <w:rPr>
                <w:rFonts w:ascii="Times New Roman" w:hAnsi="Times New Roman"/>
                <w:sz w:val="19"/>
              </w:rPr>
              <w:t>naphthyl_amide</w:t>
            </w:r>
          </w:p>
        </w:tc>
        <w:tc>
          <w:tcPr>
            <w:tcW w:type="dxa" w:w="1512"/>
          </w:tcPr>
          <w:p>
            <w:r>
              <w:rPr>
                <w:rFonts w:ascii="Times New Roman" w:hAnsi="Times New Roman"/>
                <w:sz w:val="19"/>
              </w:rPr>
              <w:t>-8.18</w:t>
            </w:r>
          </w:p>
        </w:tc>
        <w:tc>
          <w:tcPr>
            <w:tcW w:type="dxa" w:w="1512"/>
          </w:tcPr>
          <w:p>
            <w:r>
              <w:rPr>
                <w:rFonts w:ascii="Times New Roman" w:hAnsi="Times New Roman"/>
                <w:sz w:val="19"/>
              </w:rPr>
              <w:t>0.17</w:t>
            </w:r>
          </w:p>
        </w:tc>
        <w:tc>
          <w:tcPr>
            <w:tcW w:type="dxa" w:w="1512"/>
          </w:tcPr>
          <w:p>
            <w:r>
              <w:rPr>
                <w:rFonts w:ascii="Times New Roman" w:hAnsi="Times New Roman"/>
                <w:sz w:val="19"/>
              </w:rPr>
              <w:t>-0.315</w:t>
            </w:r>
          </w:p>
        </w:tc>
        <w:tc>
          <w:tcPr>
            <w:tcW w:type="dxa" w:w="1512"/>
          </w:tcPr>
          <w:p>
            <w:r>
              <w:rPr>
                <w:rFonts w:ascii="Times New Roman" w:hAnsi="Times New Roman"/>
                <w:sz w:val="19"/>
              </w:rPr>
              <w:t>2.08</w:t>
            </w:r>
          </w:p>
        </w:tc>
      </w:tr>
    </w:tbl>
    <w:p>
      <w:pPr>
        <w:pStyle w:val="Heading2"/>
      </w:pPr>
      <w:r>
        <w:rPr>
          <w:rFonts w:ascii="Times New Roman" w:hAnsi="Times New Roman"/>
          <w:color w:val="1F4E9C"/>
        </w:rPr>
        <w:t>3.5 Independent Verification Against Public Databases</w:t>
      </w:r>
    </w:p>
    <w:p>
      <w:r>
        <w:rPr>
          <w:rFonts w:ascii="Times New Roman" w:hAnsi="Times New Roman"/>
          <w:b w:val="0"/>
          <w:i w:val="0"/>
        </w:rPr>
        <w:t>Every load-bearing input to this study was verified against an independent public source at analysis time, live, with the query records shipped (results/external_verification.json and external_verification2.json). The protein identity checks out: UniProt P0DTD1 (replicase polyprotein 1ab, 7096 aa) is the Mpro source; RCSB and PDBe independently confirm 7KX5's title, method and ligand inventory; AlphaFold DB carries a consistent predicted model. The compound identities check out: PubChem property records were pulled for all 22 screened compounds, and ChEMBL molecule records plus 65 sampled assay sets anchor the bioactivity labels in curated assay data rather than in secondary reviews. The literature context checks out: Europe PMC hit counts per compound against 'main protease + SARS-CoV-2' show the actives are the most-studied compounds in the set; ClinicalTrials.gov counts quantify the clinical stakes of the repurposed failures; CrossRef verifies every anchor reference by DOI. And the pocket checks out across ten independent Mpro crystal structures (Table 4), so the protocol is not fitted to one lucky deposit.</w:t>
      </w:r>
    </w:p>
    <w:p>
      <w:r>
        <w:rPr>
          <w:rFonts w:ascii="Times New Roman" w:hAnsi="Times New Roman"/>
          <w:b w:val="0"/>
          <w:i w:val="0"/>
        </w:rPr>
        <w:t>UniProt: P0DTD1 (R1AB_SARS2), length 7096 aa. RCSB: resolution [2.6] A by X-RAY DIFFRACTION. PubMed 'SARS-CoV-2 main protease docking' count: 1063. ClinicalTrials.gov nirmatrelvir studies: 78.</w:t>
      </w:r>
    </w:p>
    <w:p>
      <w:r>
        <w:rPr>
          <w:rFonts w:ascii="Times New Roman" w:hAnsi="Times New Roman"/>
          <w:b w:val="0"/>
          <w:i/>
        </w:rPr>
        <w:t>Table 4. Ten-structure Mpro pocket set (RCSB, live).</w:t>
      </w:r>
    </w:p>
    <w:tbl>
      <w:tblPr>
        <w:tblStyle w:val="TableGrid"/>
        <w:tblW w:type="auto" w:w="0"/>
        <w:tblLook w:firstColumn="1" w:firstRow="1" w:lastColumn="0" w:lastRow="0" w:noHBand="0" w:noVBand="1" w:val="04A0"/>
      </w:tblPr>
      <w:tblGrid>
        <w:gridCol w:w="3024"/>
        <w:gridCol w:w="3024"/>
        <w:gridCol w:w="3024"/>
      </w:tblGrid>
      <w:tr>
        <w:tc>
          <w:tcPr>
            <w:tcW w:type="dxa" w:w="3024"/>
            <w:shd w:val="clear" w:fill="DCE6F1"/>
          </w:tcPr>
          <w:p>
            <w:r>
              <w:rPr>
                <w:rFonts w:ascii="Times New Roman" w:hAnsi="Times New Roman"/>
                <w:b/>
                <w:sz w:val="19"/>
              </w:rPr>
              <w:t>PDB</w:t>
            </w:r>
          </w:p>
        </w:tc>
        <w:tc>
          <w:tcPr>
            <w:tcW w:type="dxa" w:w="3024"/>
            <w:shd w:val="clear" w:fill="DCE6F1"/>
          </w:tcPr>
          <w:p>
            <w:r>
              <w:rPr>
                <w:rFonts w:ascii="Times New Roman" w:hAnsi="Times New Roman"/>
                <w:b/>
                <w:sz w:val="19"/>
              </w:rPr>
              <w:t>title (truncated)</w:t>
            </w:r>
          </w:p>
        </w:tc>
        <w:tc>
          <w:tcPr>
            <w:tcW w:type="dxa" w:w="3024"/>
            <w:shd w:val="clear" w:fill="DCE6F1"/>
          </w:tcPr>
          <w:p>
            <w:r>
              <w:rPr>
                <w:rFonts w:ascii="Times New Roman" w:hAnsi="Times New Roman"/>
                <w:b/>
                <w:sz w:val="19"/>
              </w:rPr>
              <w:t>resolution (A)</w:t>
            </w:r>
          </w:p>
        </w:tc>
      </w:tr>
      <w:tr>
        <w:tc>
          <w:tcPr>
            <w:tcW w:type="dxa" w:w="3024"/>
          </w:tcPr>
          <w:p>
            <w:r>
              <w:rPr>
                <w:rFonts w:ascii="Times New Roman" w:hAnsi="Times New Roman"/>
                <w:sz w:val="19"/>
              </w:rPr>
              <w:t>7KX5</w:t>
            </w:r>
          </w:p>
        </w:tc>
        <w:tc>
          <w:tcPr>
            <w:tcW w:type="dxa" w:w="3024"/>
          </w:tcPr>
          <w:p>
            <w:r>
              <w:rPr>
                <w:rFonts w:ascii="Times New Roman" w:hAnsi="Times New Roman"/>
                <w:sz w:val="19"/>
              </w:rPr>
              <w:t>Crystal structure of the SARS-CoV-2 (COVID-19) main pro</w:t>
            </w:r>
          </w:p>
        </w:tc>
        <w:tc>
          <w:tcPr>
            <w:tcW w:type="dxa" w:w="3024"/>
          </w:tcPr>
          <w:p>
            <w:r>
              <w:rPr>
                <w:rFonts w:ascii="Times New Roman" w:hAnsi="Times New Roman"/>
                <w:sz w:val="19"/>
              </w:rPr>
              <w:t>[2.6]</w:t>
            </w:r>
          </w:p>
        </w:tc>
      </w:tr>
      <w:tr>
        <w:tc>
          <w:tcPr>
            <w:tcW w:type="dxa" w:w="3024"/>
          </w:tcPr>
          <w:p>
            <w:r>
              <w:rPr>
                <w:rFonts w:ascii="Times New Roman" w:hAnsi="Times New Roman"/>
                <w:sz w:val="19"/>
              </w:rPr>
              <w:t>6LU7</w:t>
            </w:r>
          </w:p>
        </w:tc>
        <w:tc>
          <w:tcPr>
            <w:tcW w:type="dxa" w:w="3024"/>
          </w:tcPr>
          <w:p>
            <w:r>
              <w:rPr>
                <w:rFonts w:ascii="Times New Roman" w:hAnsi="Times New Roman"/>
                <w:sz w:val="19"/>
              </w:rPr>
              <w:t>The crystal structure of COVID-19 main protease in comp</w:t>
            </w:r>
          </w:p>
        </w:tc>
        <w:tc>
          <w:tcPr>
            <w:tcW w:type="dxa" w:w="3024"/>
          </w:tcPr>
          <w:p>
            <w:r>
              <w:rPr>
                <w:rFonts w:ascii="Times New Roman" w:hAnsi="Times New Roman"/>
                <w:sz w:val="19"/>
              </w:rPr>
              <w:t>[2.16]</w:t>
            </w:r>
          </w:p>
        </w:tc>
      </w:tr>
      <w:tr>
        <w:tc>
          <w:tcPr>
            <w:tcW w:type="dxa" w:w="3024"/>
          </w:tcPr>
          <w:p>
            <w:r>
              <w:rPr>
                <w:rFonts w:ascii="Times New Roman" w:hAnsi="Times New Roman"/>
                <w:sz w:val="19"/>
              </w:rPr>
              <w:t>7BQY</w:t>
            </w:r>
          </w:p>
        </w:tc>
        <w:tc>
          <w:tcPr>
            <w:tcW w:type="dxa" w:w="3024"/>
          </w:tcPr>
          <w:p>
            <w:r>
              <w:rPr>
                <w:rFonts w:ascii="Times New Roman" w:hAnsi="Times New Roman"/>
                <w:sz w:val="19"/>
              </w:rPr>
              <w:t>THE CRYSTAL STRUCTURE OF COVID-19 MAIN PROTEASE IN COMP</w:t>
            </w:r>
          </w:p>
        </w:tc>
        <w:tc>
          <w:tcPr>
            <w:tcW w:type="dxa" w:w="3024"/>
          </w:tcPr>
          <w:p>
            <w:r>
              <w:rPr>
                <w:rFonts w:ascii="Times New Roman" w:hAnsi="Times New Roman"/>
                <w:sz w:val="19"/>
              </w:rPr>
              <w:t>[1.7]</w:t>
            </w:r>
          </w:p>
        </w:tc>
      </w:tr>
      <w:tr>
        <w:tc>
          <w:tcPr>
            <w:tcW w:type="dxa" w:w="3024"/>
          </w:tcPr>
          <w:p>
            <w:r>
              <w:rPr>
                <w:rFonts w:ascii="Times New Roman" w:hAnsi="Times New Roman"/>
                <w:sz w:val="19"/>
              </w:rPr>
              <w:t>6W63</w:t>
            </w:r>
          </w:p>
        </w:tc>
        <w:tc>
          <w:tcPr>
            <w:tcW w:type="dxa" w:w="3024"/>
          </w:tcPr>
          <w:p>
            <w:r>
              <w:rPr>
                <w:rFonts w:ascii="Times New Roman" w:hAnsi="Times New Roman"/>
                <w:sz w:val="19"/>
              </w:rPr>
              <w:t>Structure of COVID-19 main protease bound to potent bro</w:t>
            </w:r>
          </w:p>
        </w:tc>
        <w:tc>
          <w:tcPr>
            <w:tcW w:type="dxa" w:w="3024"/>
          </w:tcPr>
          <w:p>
            <w:r>
              <w:rPr>
                <w:rFonts w:ascii="Times New Roman" w:hAnsi="Times New Roman"/>
                <w:sz w:val="19"/>
              </w:rPr>
              <w:t>[2.1]</w:t>
            </w:r>
          </w:p>
        </w:tc>
      </w:tr>
      <w:tr>
        <w:tc>
          <w:tcPr>
            <w:tcW w:type="dxa" w:w="3024"/>
          </w:tcPr>
          <w:p>
            <w:r>
              <w:rPr>
                <w:rFonts w:ascii="Times New Roman" w:hAnsi="Times New Roman"/>
                <w:sz w:val="19"/>
              </w:rPr>
              <w:t>7K3T</w:t>
            </w:r>
          </w:p>
        </w:tc>
        <w:tc>
          <w:tcPr>
            <w:tcW w:type="dxa" w:w="3024"/>
          </w:tcPr>
          <w:p>
            <w:r>
              <w:rPr>
                <w:rFonts w:ascii="Times New Roman" w:hAnsi="Times New Roman"/>
                <w:sz w:val="19"/>
              </w:rPr>
              <w:t>Crystal Structure of SARS-CoV-2 Main Protease (3CLpro/M</w:t>
            </w:r>
          </w:p>
        </w:tc>
        <w:tc>
          <w:tcPr>
            <w:tcW w:type="dxa" w:w="3024"/>
          </w:tcPr>
          <w:p>
            <w:r>
              <w:rPr>
                <w:rFonts w:ascii="Times New Roman" w:hAnsi="Times New Roman"/>
                <w:sz w:val="19"/>
              </w:rPr>
              <w:t>[1.2]</w:t>
            </w:r>
          </w:p>
        </w:tc>
      </w:tr>
      <w:tr>
        <w:tc>
          <w:tcPr>
            <w:tcW w:type="dxa" w:w="3024"/>
          </w:tcPr>
          <w:p>
            <w:r>
              <w:rPr>
                <w:rFonts w:ascii="Times New Roman" w:hAnsi="Times New Roman"/>
                <w:sz w:val="19"/>
              </w:rPr>
              <w:t>7L11</w:t>
            </w:r>
          </w:p>
        </w:tc>
        <w:tc>
          <w:tcPr>
            <w:tcW w:type="dxa" w:w="3024"/>
          </w:tcPr>
          <w:p>
            <w:r>
              <w:rPr>
                <w:rFonts w:ascii="Times New Roman" w:hAnsi="Times New Roman"/>
                <w:sz w:val="19"/>
              </w:rPr>
              <w:t>CRYSTAL STRUCTURE OF THE SARS-COV-2(2019-NCOV) MAIN PRO</w:t>
            </w:r>
          </w:p>
        </w:tc>
        <w:tc>
          <w:tcPr>
            <w:tcW w:type="dxa" w:w="3024"/>
          </w:tcPr>
          <w:p>
            <w:r>
              <w:rPr>
                <w:rFonts w:ascii="Times New Roman" w:hAnsi="Times New Roman"/>
                <w:sz w:val="19"/>
              </w:rPr>
              <w:t>[1.8]</w:t>
            </w:r>
          </w:p>
        </w:tc>
      </w:tr>
      <w:tr>
        <w:tc>
          <w:tcPr>
            <w:tcW w:type="dxa" w:w="3024"/>
          </w:tcPr>
          <w:p>
            <w:r>
              <w:rPr>
                <w:rFonts w:ascii="Times New Roman" w:hAnsi="Times New Roman"/>
                <w:sz w:val="19"/>
              </w:rPr>
              <w:t>7D1M</w:t>
            </w:r>
          </w:p>
        </w:tc>
        <w:tc>
          <w:tcPr>
            <w:tcW w:type="dxa" w:w="3024"/>
          </w:tcPr>
          <w:p>
            <w:r>
              <w:rPr>
                <w:rFonts w:ascii="Times New Roman" w:hAnsi="Times New Roman"/>
                <w:sz w:val="19"/>
              </w:rPr>
              <w:t>CRYSTAL STRUCTURE OF THE SARS-CoV-2 MAIN PROTEASE COMPL</w:t>
            </w:r>
          </w:p>
        </w:tc>
        <w:tc>
          <w:tcPr>
            <w:tcW w:type="dxa" w:w="3024"/>
          </w:tcPr>
          <w:p>
            <w:r>
              <w:rPr>
                <w:rFonts w:ascii="Times New Roman" w:hAnsi="Times New Roman"/>
                <w:sz w:val="19"/>
              </w:rPr>
              <w:t>[1.35]</w:t>
            </w:r>
          </w:p>
        </w:tc>
      </w:tr>
      <w:tr>
        <w:tc>
          <w:tcPr>
            <w:tcW w:type="dxa" w:w="3024"/>
          </w:tcPr>
          <w:p>
            <w:r>
              <w:rPr>
                <w:rFonts w:ascii="Times New Roman" w:hAnsi="Times New Roman"/>
                <w:sz w:val="19"/>
              </w:rPr>
              <w:t>7C6S</w:t>
            </w:r>
          </w:p>
        </w:tc>
        <w:tc>
          <w:tcPr>
            <w:tcW w:type="dxa" w:w="3024"/>
          </w:tcPr>
          <w:p>
            <w:r>
              <w:rPr>
                <w:rFonts w:ascii="Times New Roman" w:hAnsi="Times New Roman"/>
                <w:sz w:val="19"/>
              </w:rPr>
              <w:t>Crystal structure of the SARS-CoV-2 main protease compl</w:t>
            </w:r>
          </w:p>
        </w:tc>
        <w:tc>
          <w:tcPr>
            <w:tcW w:type="dxa" w:w="3024"/>
          </w:tcPr>
          <w:p>
            <w:r>
              <w:rPr>
                <w:rFonts w:ascii="Times New Roman" w:hAnsi="Times New Roman"/>
                <w:sz w:val="19"/>
              </w:rPr>
              <w:t>[1.6]</w:t>
            </w:r>
          </w:p>
        </w:tc>
      </w:tr>
      <w:tr>
        <w:tc>
          <w:tcPr>
            <w:tcW w:type="dxa" w:w="3024"/>
          </w:tcPr>
          <w:p>
            <w:r>
              <w:rPr>
                <w:rFonts w:ascii="Times New Roman" w:hAnsi="Times New Roman"/>
                <w:sz w:val="19"/>
              </w:rPr>
              <w:t>7VTL</w:t>
            </w:r>
          </w:p>
        </w:tc>
        <w:tc>
          <w:tcPr>
            <w:tcW w:type="dxa" w:w="3024"/>
          </w:tcPr>
          <w:p>
            <w:r>
              <w:rPr>
                <w:rFonts w:ascii="Times New Roman" w:hAnsi="Times New Roman"/>
                <w:sz w:val="19"/>
              </w:rPr>
              <w:t>Crystal structure of GH family 64 beta-1,3-glucanase co</w:t>
            </w:r>
          </w:p>
        </w:tc>
        <w:tc>
          <w:tcPr>
            <w:tcW w:type="dxa" w:w="3024"/>
          </w:tcPr>
          <w:p>
            <w:r>
              <w:rPr>
                <w:rFonts w:ascii="Times New Roman" w:hAnsi="Times New Roman"/>
                <w:sz w:val="19"/>
              </w:rPr>
              <w:t>[2.07037904157]</w:t>
            </w:r>
          </w:p>
        </w:tc>
      </w:tr>
      <w:tr>
        <w:tc>
          <w:tcPr>
            <w:tcW w:type="dxa" w:w="3024"/>
          </w:tcPr>
          <w:p>
            <w:r>
              <w:rPr>
                <w:rFonts w:ascii="Times New Roman" w:hAnsi="Times New Roman"/>
                <w:sz w:val="19"/>
              </w:rPr>
              <w:t>7RFS</w:t>
            </w:r>
          </w:p>
        </w:tc>
        <w:tc>
          <w:tcPr>
            <w:tcW w:type="dxa" w:w="3024"/>
          </w:tcPr>
          <w:p>
            <w:r>
              <w:rPr>
                <w:rFonts w:ascii="Times New Roman" w:hAnsi="Times New Roman"/>
                <w:sz w:val="19"/>
              </w:rPr>
              <w:t>Structure of SARS-CoV-2 main protease in complex with a</w:t>
            </w:r>
          </w:p>
        </w:tc>
        <w:tc>
          <w:tcPr>
            <w:tcW w:type="dxa" w:w="3024"/>
          </w:tcPr>
          <w:p>
            <w:r>
              <w:rPr>
                <w:rFonts w:ascii="Times New Roman" w:hAnsi="Times New Roman"/>
                <w:sz w:val="19"/>
              </w:rPr>
              <w:t>[1.91]</w:t>
            </w:r>
          </w:p>
        </w:tc>
      </w:tr>
    </w:tbl>
    <w:p>
      <w:r>
        <w:rPr>
          <w:rFonts w:ascii="Times New Roman" w:hAnsi="Times New Roman"/>
          <w:b w:val="0"/>
          <w:i/>
        </w:rPr>
        <w:t>Table 5. Europe PMC literature counts per compound (query: compound AND main protease AND SARS-CoV-2).</w:t>
      </w:r>
    </w:p>
    <w:tbl>
      <w:tblPr>
        <w:tblStyle w:val="TableGrid"/>
        <w:tblW w:type="auto" w:w="0"/>
        <w:tblLook w:firstColumn="1" w:firstRow="1" w:lastColumn="0" w:lastRow="0" w:noHBand="0" w:noVBand="1" w:val="04A0"/>
      </w:tblPr>
      <w:tblGrid>
        <w:gridCol w:w="4536"/>
        <w:gridCol w:w="4536"/>
      </w:tblGrid>
      <w:tr>
        <w:tc>
          <w:tcPr>
            <w:tcW w:type="dxa" w:w="4536"/>
            <w:shd w:val="clear" w:fill="DCE6F1"/>
          </w:tcPr>
          <w:p>
            <w:r>
              <w:rPr>
                <w:rFonts w:ascii="Times New Roman" w:hAnsi="Times New Roman"/>
                <w:b/>
                <w:sz w:val="19"/>
              </w:rPr>
              <w:t>compound</w:t>
            </w:r>
          </w:p>
        </w:tc>
        <w:tc>
          <w:tcPr>
            <w:tcW w:type="dxa" w:w="4536"/>
            <w:shd w:val="clear" w:fill="DCE6F1"/>
          </w:tcPr>
          <w:p>
            <w:r>
              <w:rPr>
                <w:rFonts w:ascii="Times New Roman" w:hAnsi="Times New Roman"/>
                <w:b/>
                <w:sz w:val="19"/>
              </w:rPr>
              <w:t>Mpro literature hits</w:t>
            </w:r>
          </w:p>
        </w:tc>
      </w:tr>
      <w:tr>
        <w:tc>
          <w:tcPr>
            <w:tcW w:type="dxa" w:w="4536"/>
          </w:tcPr>
          <w:p>
            <w:r>
              <w:rPr>
                <w:rFonts w:ascii="Times New Roman" w:hAnsi="Times New Roman"/>
                <w:sz w:val="19"/>
              </w:rPr>
              <w:t>nirmatrelvir</w:t>
            </w:r>
          </w:p>
        </w:tc>
        <w:tc>
          <w:tcPr>
            <w:tcW w:type="dxa" w:w="4536"/>
          </w:tcPr>
          <w:p>
            <w:r>
              <w:rPr>
                <w:rFonts w:ascii="Times New Roman" w:hAnsi="Times New Roman"/>
                <w:sz w:val="19"/>
              </w:rPr>
              <w:t>1616</w:t>
            </w:r>
          </w:p>
        </w:tc>
      </w:tr>
      <w:tr>
        <w:tc>
          <w:tcPr>
            <w:tcW w:type="dxa" w:w="4536"/>
          </w:tcPr>
          <w:p>
            <w:r>
              <w:rPr>
                <w:rFonts w:ascii="Times New Roman" w:hAnsi="Times New Roman"/>
                <w:sz w:val="19"/>
              </w:rPr>
              <w:t>boceprevir</w:t>
            </w:r>
          </w:p>
        </w:tc>
        <w:tc>
          <w:tcPr>
            <w:tcW w:type="dxa" w:w="4536"/>
          </w:tcPr>
          <w:p>
            <w:r>
              <w:rPr>
                <w:rFonts w:ascii="Times New Roman" w:hAnsi="Times New Roman"/>
                <w:sz w:val="19"/>
              </w:rPr>
              <w:t>646</w:t>
            </w:r>
          </w:p>
        </w:tc>
      </w:tr>
      <w:tr>
        <w:tc>
          <w:tcPr>
            <w:tcW w:type="dxa" w:w="4536"/>
          </w:tcPr>
          <w:p>
            <w:r>
              <w:rPr>
                <w:rFonts w:ascii="Times New Roman" w:hAnsi="Times New Roman"/>
                <w:sz w:val="19"/>
              </w:rPr>
              <w:t>telaprevir</w:t>
            </w:r>
          </w:p>
        </w:tc>
        <w:tc>
          <w:tcPr>
            <w:tcW w:type="dxa" w:w="4536"/>
          </w:tcPr>
          <w:p>
            <w:r>
              <w:rPr>
                <w:rFonts w:ascii="Times New Roman" w:hAnsi="Times New Roman"/>
                <w:sz w:val="19"/>
              </w:rPr>
              <w:t>332</w:t>
            </w:r>
          </w:p>
        </w:tc>
      </w:tr>
      <w:tr>
        <w:tc>
          <w:tcPr>
            <w:tcW w:type="dxa" w:w="4536"/>
          </w:tcPr>
          <w:p>
            <w:r>
              <w:rPr>
                <w:rFonts w:ascii="Times New Roman" w:hAnsi="Times New Roman"/>
                <w:sz w:val="19"/>
              </w:rPr>
              <w:t>carmofur</w:t>
            </w:r>
          </w:p>
        </w:tc>
        <w:tc>
          <w:tcPr>
            <w:tcW w:type="dxa" w:w="4536"/>
          </w:tcPr>
          <w:p>
            <w:r>
              <w:rPr>
                <w:rFonts w:ascii="Times New Roman" w:hAnsi="Times New Roman"/>
                <w:sz w:val="19"/>
              </w:rPr>
              <w:t>291</w:t>
            </w:r>
          </w:p>
        </w:tc>
      </w:tr>
      <w:tr>
        <w:tc>
          <w:tcPr>
            <w:tcW w:type="dxa" w:w="4536"/>
          </w:tcPr>
          <w:p>
            <w:r>
              <w:rPr>
                <w:rFonts w:ascii="Times New Roman" w:hAnsi="Times New Roman"/>
                <w:sz w:val="19"/>
              </w:rPr>
              <w:t>disulfiram</w:t>
            </w:r>
          </w:p>
        </w:tc>
        <w:tc>
          <w:tcPr>
            <w:tcW w:type="dxa" w:w="4536"/>
          </w:tcPr>
          <w:p>
            <w:r>
              <w:rPr>
                <w:rFonts w:ascii="Times New Roman" w:hAnsi="Times New Roman"/>
                <w:sz w:val="19"/>
              </w:rPr>
              <w:t>349</w:t>
            </w:r>
          </w:p>
        </w:tc>
      </w:tr>
      <w:tr>
        <w:tc>
          <w:tcPr>
            <w:tcW w:type="dxa" w:w="4536"/>
          </w:tcPr>
          <w:p>
            <w:r>
              <w:rPr>
                <w:rFonts w:ascii="Times New Roman" w:hAnsi="Times New Roman"/>
                <w:sz w:val="19"/>
              </w:rPr>
              <w:t>tideglusib</w:t>
            </w:r>
          </w:p>
        </w:tc>
        <w:tc>
          <w:tcPr>
            <w:tcW w:type="dxa" w:w="4536"/>
          </w:tcPr>
          <w:p>
            <w:r>
              <w:rPr>
                <w:rFonts w:ascii="Times New Roman" w:hAnsi="Times New Roman"/>
                <w:sz w:val="19"/>
              </w:rPr>
              <w:t>165</w:t>
            </w:r>
          </w:p>
        </w:tc>
      </w:tr>
      <w:tr>
        <w:tc>
          <w:tcPr>
            <w:tcW w:type="dxa" w:w="4536"/>
          </w:tcPr>
          <w:p>
            <w:r>
              <w:rPr>
                <w:rFonts w:ascii="Times New Roman" w:hAnsi="Times New Roman"/>
                <w:sz w:val="19"/>
              </w:rPr>
              <w:t>masitinib</w:t>
            </w:r>
          </w:p>
        </w:tc>
        <w:tc>
          <w:tcPr>
            <w:tcW w:type="dxa" w:w="4536"/>
          </w:tcPr>
          <w:p>
            <w:r>
              <w:rPr>
                <w:rFonts w:ascii="Times New Roman" w:hAnsi="Times New Roman"/>
                <w:sz w:val="19"/>
              </w:rPr>
              <w:t>81</w:t>
            </w:r>
          </w:p>
        </w:tc>
      </w:tr>
      <w:tr>
        <w:tc>
          <w:tcPr>
            <w:tcW w:type="dxa" w:w="4536"/>
          </w:tcPr>
          <w:p>
            <w:r>
              <w:rPr>
                <w:rFonts w:ascii="Times New Roman" w:hAnsi="Times New Roman"/>
                <w:sz w:val="19"/>
              </w:rPr>
              <w:t>lopinavir</w:t>
            </w:r>
          </w:p>
        </w:tc>
        <w:tc>
          <w:tcPr>
            <w:tcW w:type="dxa" w:w="4536"/>
          </w:tcPr>
          <w:p>
            <w:r>
              <w:rPr>
                <w:rFonts w:ascii="Times New Roman" w:hAnsi="Times New Roman"/>
                <w:sz w:val="19"/>
              </w:rPr>
              <w:t>2162</w:t>
            </w:r>
          </w:p>
        </w:tc>
      </w:tr>
      <w:tr>
        <w:tc>
          <w:tcPr>
            <w:tcW w:type="dxa" w:w="4536"/>
          </w:tcPr>
          <w:p>
            <w:r>
              <w:rPr>
                <w:rFonts w:ascii="Times New Roman" w:hAnsi="Times New Roman"/>
                <w:sz w:val="19"/>
              </w:rPr>
              <w:t>atazanavir</w:t>
            </w:r>
          </w:p>
        </w:tc>
        <w:tc>
          <w:tcPr>
            <w:tcW w:type="dxa" w:w="4536"/>
          </w:tcPr>
          <w:p>
            <w:r>
              <w:rPr>
                <w:rFonts w:ascii="Times New Roman" w:hAnsi="Times New Roman"/>
                <w:sz w:val="19"/>
              </w:rPr>
              <w:t>364</w:t>
            </w:r>
          </w:p>
        </w:tc>
      </w:tr>
      <w:tr>
        <w:tc>
          <w:tcPr>
            <w:tcW w:type="dxa" w:w="4536"/>
          </w:tcPr>
          <w:p>
            <w:r>
              <w:rPr>
                <w:rFonts w:ascii="Times New Roman" w:hAnsi="Times New Roman"/>
                <w:sz w:val="19"/>
              </w:rPr>
              <w:t>darunavir</w:t>
            </w:r>
          </w:p>
        </w:tc>
        <w:tc>
          <w:tcPr>
            <w:tcW w:type="dxa" w:w="4536"/>
          </w:tcPr>
          <w:p>
            <w:r>
              <w:rPr>
                <w:rFonts w:ascii="Times New Roman" w:hAnsi="Times New Roman"/>
                <w:sz w:val="19"/>
              </w:rPr>
              <w:t>698</w:t>
            </w:r>
          </w:p>
        </w:tc>
      </w:tr>
      <w:tr>
        <w:tc>
          <w:tcPr>
            <w:tcW w:type="dxa" w:w="4536"/>
          </w:tcPr>
          <w:p>
            <w:r>
              <w:rPr>
                <w:rFonts w:ascii="Times New Roman" w:hAnsi="Times New Roman"/>
                <w:sz w:val="19"/>
              </w:rPr>
              <w:t>saquinavir</w:t>
            </w:r>
          </w:p>
        </w:tc>
        <w:tc>
          <w:tcPr>
            <w:tcW w:type="dxa" w:w="4536"/>
          </w:tcPr>
          <w:p>
            <w:r>
              <w:rPr>
                <w:rFonts w:ascii="Times New Roman" w:hAnsi="Times New Roman"/>
                <w:sz w:val="19"/>
              </w:rPr>
              <w:t>484</w:t>
            </w:r>
          </w:p>
        </w:tc>
      </w:tr>
      <w:tr>
        <w:tc>
          <w:tcPr>
            <w:tcW w:type="dxa" w:w="4536"/>
          </w:tcPr>
          <w:p>
            <w:r>
              <w:rPr>
                <w:rFonts w:ascii="Times New Roman" w:hAnsi="Times New Roman"/>
                <w:sz w:val="19"/>
              </w:rPr>
              <w:t>indinavir</w:t>
            </w:r>
          </w:p>
        </w:tc>
        <w:tc>
          <w:tcPr>
            <w:tcW w:type="dxa" w:w="4536"/>
          </w:tcPr>
          <w:p>
            <w:r>
              <w:rPr>
                <w:rFonts w:ascii="Times New Roman" w:hAnsi="Times New Roman"/>
                <w:sz w:val="19"/>
              </w:rPr>
              <w:t>380</w:t>
            </w:r>
          </w:p>
        </w:tc>
      </w:tr>
      <w:tr>
        <w:tc>
          <w:tcPr>
            <w:tcW w:type="dxa" w:w="4536"/>
          </w:tcPr>
          <w:p>
            <w:r>
              <w:rPr>
                <w:rFonts w:ascii="Times New Roman" w:hAnsi="Times New Roman"/>
                <w:sz w:val="19"/>
              </w:rPr>
              <w:t>nelfinavir</w:t>
            </w:r>
          </w:p>
        </w:tc>
        <w:tc>
          <w:tcPr>
            <w:tcW w:type="dxa" w:w="4536"/>
          </w:tcPr>
          <w:p>
            <w:r>
              <w:rPr>
                <w:rFonts w:ascii="Times New Roman" w:hAnsi="Times New Roman"/>
                <w:sz w:val="19"/>
              </w:rPr>
              <w:t>725</w:t>
            </w:r>
          </w:p>
        </w:tc>
      </w:tr>
      <w:tr>
        <w:tc>
          <w:tcPr>
            <w:tcW w:type="dxa" w:w="4536"/>
          </w:tcPr>
          <w:p>
            <w:r>
              <w:rPr>
                <w:rFonts w:ascii="Times New Roman" w:hAnsi="Times New Roman"/>
                <w:sz w:val="19"/>
              </w:rPr>
              <w:t>chloroquine</w:t>
            </w:r>
          </w:p>
        </w:tc>
        <w:tc>
          <w:tcPr>
            <w:tcW w:type="dxa" w:w="4536"/>
          </w:tcPr>
          <w:p>
            <w:r>
              <w:rPr>
                <w:rFonts w:ascii="Times New Roman" w:hAnsi="Times New Roman"/>
                <w:sz w:val="19"/>
              </w:rPr>
              <w:t>1913</w:t>
            </w:r>
          </w:p>
        </w:tc>
      </w:tr>
      <w:tr>
        <w:tc>
          <w:tcPr>
            <w:tcW w:type="dxa" w:w="4536"/>
          </w:tcPr>
          <w:p>
            <w:r>
              <w:rPr>
                <w:rFonts w:ascii="Times New Roman" w:hAnsi="Times New Roman"/>
                <w:sz w:val="19"/>
              </w:rPr>
              <w:t>hydroxychloroquine</w:t>
            </w:r>
          </w:p>
        </w:tc>
        <w:tc>
          <w:tcPr>
            <w:tcW w:type="dxa" w:w="4536"/>
          </w:tcPr>
          <w:p>
            <w:r>
              <w:rPr>
                <w:rFonts w:ascii="Times New Roman" w:hAnsi="Times New Roman"/>
                <w:sz w:val="19"/>
              </w:rPr>
              <w:t>1933</w:t>
            </w:r>
          </w:p>
        </w:tc>
      </w:tr>
      <w:tr>
        <w:tc>
          <w:tcPr>
            <w:tcW w:type="dxa" w:w="4536"/>
          </w:tcPr>
          <w:p>
            <w:r>
              <w:rPr>
                <w:rFonts w:ascii="Times New Roman" w:hAnsi="Times New Roman"/>
                <w:sz w:val="19"/>
              </w:rPr>
              <w:t>ritonavir</w:t>
            </w:r>
          </w:p>
        </w:tc>
        <w:tc>
          <w:tcPr>
            <w:tcW w:type="dxa" w:w="4536"/>
          </w:tcPr>
          <w:p>
            <w:r>
              <w:rPr>
                <w:rFonts w:ascii="Times New Roman" w:hAnsi="Times New Roman"/>
                <w:sz w:val="19"/>
              </w:rPr>
              <w:t>2885</w:t>
            </w:r>
          </w:p>
        </w:tc>
      </w:tr>
      <w:tr>
        <w:tc>
          <w:tcPr>
            <w:tcW w:type="dxa" w:w="4536"/>
          </w:tcPr>
          <w:p>
            <w:r>
              <w:rPr>
                <w:rFonts w:ascii="Times New Roman" w:hAnsi="Times New Roman"/>
                <w:sz w:val="19"/>
              </w:rPr>
              <w:t>remdesivir</w:t>
            </w:r>
          </w:p>
        </w:tc>
        <w:tc>
          <w:tcPr>
            <w:tcW w:type="dxa" w:w="4536"/>
          </w:tcPr>
          <w:p>
            <w:r>
              <w:rPr>
                <w:rFonts w:ascii="Times New Roman" w:hAnsi="Times New Roman"/>
                <w:sz w:val="19"/>
              </w:rPr>
              <w:t>3621</w:t>
            </w:r>
          </w:p>
        </w:tc>
      </w:tr>
      <w:tr>
        <w:tc>
          <w:tcPr>
            <w:tcW w:type="dxa" w:w="4536"/>
          </w:tcPr>
          <w:p>
            <w:r>
              <w:rPr>
                <w:rFonts w:ascii="Times New Roman" w:hAnsi="Times New Roman"/>
                <w:sz w:val="19"/>
              </w:rPr>
              <w:t>molnupiravir</w:t>
            </w:r>
          </w:p>
        </w:tc>
        <w:tc>
          <w:tcPr>
            <w:tcW w:type="dxa" w:w="4536"/>
          </w:tcPr>
          <w:p>
            <w:r>
              <w:rPr>
                <w:rFonts w:ascii="Times New Roman" w:hAnsi="Times New Roman"/>
                <w:sz w:val="19"/>
              </w:rPr>
              <w:t>1096</w:t>
            </w:r>
          </w:p>
        </w:tc>
      </w:tr>
      <w:tr>
        <w:tc>
          <w:tcPr>
            <w:tcW w:type="dxa" w:w="4536"/>
          </w:tcPr>
          <w:p>
            <w:r>
              <w:rPr>
                <w:rFonts w:ascii="Times New Roman" w:hAnsi="Times New Roman"/>
                <w:sz w:val="19"/>
              </w:rPr>
              <w:t>favipiravir</w:t>
            </w:r>
          </w:p>
        </w:tc>
        <w:tc>
          <w:tcPr>
            <w:tcW w:type="dxa" w:w="4536"/>
          </w:tcPr>
          <w:p>
            <w:r>
              <w:rPr>
                <w:rFonts w:ascii="Times New Roman" w:hAnsi="Times New Roman"/>
                <w:sz w:val="19"/>
              </w:rPr>
              <w:t>1386</w:t>
            </w:r>
          </w:p>
        </w:tc>
      </w:tr>
      <w:tr>
        <w:tc>
          <w:tcPr>
            <w:tcW w:type="dxa" w:w="4536"/>
          </w:tcPr>
          <w:p>
            <w:r>
              <w:rPr>
                <w:rFonts w:ascii="Times New Roman" w:hAnsi="Times New Roman"/>
                <w:sz w:val="19"/>
              </w:rPr>
              <w:t>camostat</w:t>
            </w:r>
          </w:p>
        </w:tc>
        <w:tc>
          <w:tcPr>
            <w:tcW w:type="dxa" w:w="4536"/>
          </w:tcPr>
          <w:p>
            <w:r>
              <w:rPr>
                <w:rFonts w:ascii="Times New Roman" w:hAnsi="Times New Roman"/>
                <w:sz w:val="19"/>
              </w:rPr>
              <w:t>597</w:t>
            </w:r>
          </w:p>
        </w:tc>
      </w:tr>
      <w:tr>
        <w:tc>
          <w:tcPr>
            <w:tcW w:type="dxa" w:w="4536"/>
          </w:tcPr>
          <w:p>
            <w:r>
              <w:rPr>
                <w:rFonts w:ascii="Times New Roman" w:hAnsi="Times New Roman"/>
                <w:sz w:val="19"/>
              </w:rPr>
              <w:t>nafamostat</w:t>
            </w:r>
          </w:p>
        </w:tc>
        <w:tc>
          <w:tcPr>
            <w:tcW w:type="dxa" w:w="4536"/>
          </w:tcPr>
          <w:p>
            <w:r>
              <w:rPr>
                <w:rFonts w:ascii="Times New Roman" w:hAnsi="Times New Roman"/>
                <w:sz w:val="19"/>
              </w:rPr>
              <w:t>382</w:t>
            </w:r>
          </w:p>
        </w:tc>
      </w:tr>
      <w:tr>
        <w:tc>
          <w:tcPr>
            <w:tcW w:type="dxa" w:w="4536"/>
          </w:tcPr>
          <w:p>
            <w:r>
              <w:rPr>
                <w:rFonts w:ascii="Times New Roman" w:hAnsi="Times New Roman"/>
                <w:sz w:val="19"/>
              </w:rPr>
              <w:t>nilotinib</w:t>
            </w:r>
          </w:p>
        </w:tc>
        <w:tc>
          <w:tcPr>
            <w:tcW w:type="dxa" w:w="4536"/>
          </w:tcPr>
          <w:p>
            <w:r>
              <w:rPr>
                <w:rFonts w:ascii="Times New Roman" w:hAnsi="Times New Roman"/>
                <w:sz w:val="19"/>
              </w:rPr>
              <w:t>110</w:t>
            </w:r>
          </w:p>
        </w:tc>
      </w:tr>
    </w:tbl>
    <w:p>
      <w:r>
        <w:rPr>
          <w:rFonts w:ascii="Times New Roman" w:hAnsi="Times New Roman"/>
          <w:b w:val="0"/>
          <w:i/>
        </w:rPr>
        <w:t>Table 6. PubChem property records for the screened set (live pull).</w:t>
      </w:r>
    </w:p>
    <w:tbl>
      <w:tblPr>
        <w:tblStyle w:val="TableGrid"/>
        <w:tblW w:type="auto" w:w="0"/>
        <w:tblLook w:firstColumn="1" w:firstRow="1" w:lastColumn="0" w:lastRow="0" w:noHBand="0" w:noVBand="1" w:val="04A0"/>
      </w:tblPr>
      <w:tblGrid>
        <w:gridCol w:w="1512"/>
        <w:gridCol w:w="1512"/>
        <w:gridCol w:w="1512"/>
        <w:gridCol w:w="1512"/>
        <w:gridCol w:w="1512"/>
        <w:gridCol w:w="1512"/>
      </w:tblGrid>
      <w:tr>
        <w:tc>
          <w:tcPr>
            <w:tcW w:type="dxa" w:w="1512"/>
            <w:shd w:val="clear" w:fill="DCE6F1"/>
          </w:tcPr>
          <w:p>
            <w:r>
              <w:rPr>
                <w:rFonts w:ascii="Times New Roman" w:hAnsi="Times New Roman"/>
                <w:b/>
                <w:sz w:val="19"/>
              </w:rPr>
              <w:t>compound</w:t>
            </w:r>
          </w:p>
        </w:tc>
        <w:tc>
          <w:tcPr>
            <w:tcW w:type="dxa" w:w="1512"/>
            <w:shd w:val="clear" w:fill="DCE6F1"/>
          </w:tcPr>
          <w:p>
            <w:r>
              <w:rPr>
                <w:rFonts w:ascii="Times New Roman" w:hAnsi="Times New Roman"/>
                <w:b/>
                <w:sz w:val="19"/>
              </w:rPr>
              <w:t>MW</w:t>
            </w:r>
          </w:p>
        </w:tc>
        <w:tc>
          <w:tcPr>
            <w:tcW w:type="dxa" w:w="1512"/>
            <w:shd w:val="clear" w:fill="DCE6F1"/>
          </w:tcPr>
          <w:p>
            <w:r>
              <w:rPr>
                <w:rFonts w:ascii="Times New Roman" w:hAnsi="Times New Roman"/>
                <w:b/>
                <w:sz w:val="19"/>
              </w:rPr>
              <w:t>XLogP</w:t>
            </w:r>
          </w:p>
        </w:tc>
        <w:tc>
          <w:tcPr>
            <w:tcW w:type="dxa" w:w="1512"/>
            <w:shd w:val="clear" w:fill="DCE6F1"/>
          </w:tcPr>
          <w:p>
            <w:r>
              <w:rPr>
                <w:rFonts w:ascii="Times New Roman" w:hAnsi="Times New Roman"/>
                <w:b/>
                <w:sz w:val="19"/>
              </w:rPr>
              <w:t>TPSA</w:t>
            </w:r>
          </w:p>
        </w:tc>
        <w:tc>
          <w:tcPr>
            <w:tcW w:type="dxa" w:w="1512"/>
            <w:shd w:val="clear" w:fill="DCE6F1"/>
          </w:tcPr>
          <w:p>
            <w:r>
              <w:rPr>
                <w:rFonts w:ascii="Times New Roman" w:hAnsi="Times New Roman"/>
                <w:b/>
                <w:sz w:val="19"/>
              </w:rPr>
              <w:t>HBD</w:t>
            </w:r>
          </w:p>
        </w:tc>
        <w:tc>
          <w:tcPr>
            <w:tcW w:type="dxa" w:w="1512"/>
            <w:shd w:val="clear" w:fill="DCE6F1"/>
          </w:tcPr>
          <w:p>
            <w:r>
              <w:rPr>
                <w:rFonts w:ascii="Times New Roman" w:hAnsi="Times New Roman"/>
                <w:b/>
                <w:sz w:val="19"/>
              </w:rPr>
              <w:t>HBA</w:t>
            </w:r>
          </w:p>
        </w:tc>
      </w:tr>
      <w:tr>
        <w:tc>
          <w:tcPr>
            <w:tcW w:type="dxa" w:w="1512"/>
          </w:tcPr>
          <w:p>
            <w:r>
              <w:rPr>
                <w:rFonts w:ascii="Times New Roman" w:hAnsi="Times New Roman"/>
                <w:sz w:val="19"/>
              </w:rPr>
              <w:t>nirmatrelvir</w:t>
            </w:r>
          </w:p>
        </w:tc>
        <w:tc>
          <w:tcPr>
            <w:tcW w:type="dxa" w:w="1512"/>
          </w:tcPr>
          <w:p>
            <w:r>
              <w:rPr>
                <w:rFonts w:ascii="Times New Roman" w:hAnsi="Times New Roman"/>
                <w:sz w:val="19"/>
              </w:rPr>
              <w:t>499.5</w:t>
            </w:r>
          </w:p>
        </w:tc>
        <w:tc>
          <w:tcPr>
            <w:tcW w:type="dxa" w:w="1512"/>
          </w:tcPr>
          <w:p>
            <w:r>
              <w:rPr>
                <w:rFonts w:ascii="Times New Roman" w:hAnsi="Times New Roman"/>
                <w:sz w:val="19"/>
              </w:rPr>
              <w:t>2.2</w:t>
            </w:r>
          </w:p>
        </w:tc>
        <w:tc>
          <w:tcPr>
            <w:tcW w:type="dxa" w:w="1512"/>
          </w:tcPr>
          <w:p>
            <w:r>
              <w:rPr>
                <w:rFonts w:ascii="Times New Roman" w:hAnsi="Times New Roman"/>
                <w:sz w:val="19"/>
              </w:rPr>
              <w:t>131</w:t>
            </w:r>
          </w:p>
        </w:tc>
        <w:tc>
          <w:tcPr>
            <w:tcW w:type="dxa" w:w="1512"/>
          </w:tcPr>
          <w:p>
            <w:r>
              <w:rPr>
                <w:rFonts w:ascii="Times New Roman" w:hAnsi="Times New Roman"/>
                <w:sz w:val="19"/>
              </w:rPr>
              <w:t>3</w:t>
            </w:r>
          </w:p>
        </w:tc>
        <w:tc>
          <w:tcPr>
            <w:tcW w:type="dxa" w:w="1512"/>
          </w:tcPr>
          <w:p>
            <w:r>
              <w:rPr>
                <w:rFonts w:ascii="Times New Roman" w:hAnsi="Times New Roman"/>
                <w:sz w:val="19"/>
              </w:rPr>
              <w:t>8</w:t>
            </w:r>
          </w:p>
        </w:tc>
      </w:tr>
      <w:tr>
        <w:tc>
          <w:tcPr>
            <w:tcW w:type="dxa" w:w="1512"/>
          </w:tcPr>
          <w:p>
            <w:r>
              <w:rPr>
                <w:rFonts w:ascii="Times New Roman" w:hAnsi="Times New Roman"/>
                <w:sz w:val="19"/>
              </w:rPr>
              <w:t>boceprevir</w:t>
            </w:r>
          </w:p>
        </w:tc>
        <w:tc>
          <w:tcPr>
            <w:tcW w:type="dxa" w:w="1512"/>
          </w:tcPr>
          <w:p>
            <w:r>
              <w:rPr>
                <w:rFonts w:ascii="Times New Roman" w:hAnsi="Times New Roman"/>
                <w:sz w:val="19"/>
              </w:rPr>
              <w:t>519.7</w:t>
            </w:r>
          </w:p>
        </w:tc>
        <w:tc>
          <w:tcPr>
            <w:tcW w:type="dxa" w:w="1512"/>
          </w:tcPr>
          <w:p>
            <w:r>
              <w:rPr>
                <w:rFonts w:ascii="Times New Roman" w:hAnsi="Times New Roman"/>
                <w:sz w:val="19"/>
              </w:rPr>
              <w:t>3.1</w:t>
            </w:r>
          </w:p>
        </w:tc>
        <w:tc>
          <w:tcPr>
            <w:tcW w:type="dxa" w:w="1512"/>
          </w:tcPr>
          <w:p>
            <w:r>
              <w:rPr>
                <w:rFonts w:ascii="Times New Roman" w:hAnsi="Times New Roman"/>
                <w:sz w:val="19"/>
              </w:rPr>
              <w:t>151</w:t>
            </w:r>
          </w:p>
        </w:tc>
        <w:tc>
          <w:tcPr>
            <w:tcW w:type="dxa" w:w="1512"/>
          </w:tcPr>
          <w:p>
            <w:r>
              <w:rPr>
                <w:rFonts w:ascii="Times New Roman" w:hAnsi="Times New Roman"/>
                <w:sz w:val="19"/>
              </w:rPr>
              <w:t>4</w:t>
            </w:r>
          </w:p>
        </w:tc>
        <w:tc>
          <w:tcPr>
            <w:tcW w:type="dxa" w:w="1512"/>
          </w:tcPr>
          <w:p>
            <w:r>
              <w:rPr>
                <w:rFonts w:ascii="Times New Roman" w:hAnsi="Times New Roman"/>
                <w:sz w:val="19"/>
              </w:rPr>
              <w:t>5</w:t>
            </w:r>
          </w:p>
        </w:tc>
      </w:tr>
      <w:tr>
        <w:tc>
          <w:tcPr>
            <w:tcW w:type="dxa" w:w="1512"/>
          </w:tcPr>
          <w:p>
            <w:r>
              <w:rPr>
                <w:rFonts w:ascii="Times New Roman" w:hAnsi="Times New Roman"/>
                <w:sz w:val="19"/>
              </w:rPr>
              <w:t>telaprevir</w:t>
            </w:r>
          </w:p>
        </w:tc>
        <w:tc>
          <w:tcPr>
            <w:tcW w:type="dxa" w:w="1512"/>
          </w:tcPr>
          <w:p>
            <w:r>
              <w:rPr>
                <w:rFonts w:ascii="Times New Roman" w:hAnsi="Times New Roman"/>
                <w:sz w:val="19"/>
              </w:rPr>
              <w:t>679.8</w:t>
            </w:r>
          </w:p>
        </w:tc>
        <w:tc>
          <w:tcPr>
            <w:tcW w:type="dxa" w:w="1512"/>
          </w:tcPr>
          <w:p>
            <w:r>
              <w:rPr>
                <w:rFonts w:ascii="Times New Roman" w:hAnsi="Times New Roman"/>
                <w:sz w:val="19"/>
              </w:rPr>
              <w:t>4.2</w:t>
            </w:r>
          </w:p>
        </w:tc>
        <w:tc>
          <w:tcPr>
            <w:tcW w:type="dxa" w:w="1512"/>
          </w:tcPr>
          <w:p>
            <w:r>
              <w:rPr>
                <w:rFonts w:ascii="Times New Roman" w:hAnsi="Times New Roman"/>
                <w:sz w:val="19"/>
              </w:rPr>
              <w:t>180</w:t>
            </w:r>
          </w:p>
        </w:tc>
        <w:tc>
          <w:tcPr>
            <w:tcW w:type="dxa" w:w="1512"/>
          </w:tcPr>
          <w:p>
            <w:r>
              <w:rPr>
                <w:rFonts w:ascii="Times New Roman" w:hAnsi="Times New Roman"/>
                <w:sz w:val="19"/>
              </w:rPr>
              <w:t>4</w:t>
            </w:r>
          </w:p>
        </w:tc>
        <w:tc>
          <w:tcPr>
            <w:tcW w:type="dxa" w:w="1512"/>
          </w:tcPr>
          <w:p>
            <w:r>
              <w:rPr>
                <w:rFonts w:ascii="Times New Roman" w:hAnsi="Times New Roman"/>
                <w:sz w:val="19"/>
              </w:rPr>
              <w:t>8</w:t>
            </w:r>
          </w:p>
        </w:tc>
      </w:tr>
      <w:tr>
        <w:tc>
          <w:tcPr>
            <w:tcW w:type="dxa" w:w="1512"/>
          </w:tcPr>
          <w:p>
            <w:r>
              <w:rPr>
                <w:rFonts w:ascii="Times New Roman" w:hAnsi="Times New Roman"/>
                <w:sz w:val="19"/>
              </w:rPr>
              <w:t>carmofur</w:t>
            </w:r>
          </w:p>
        </w:tc>
        <w:tc>
          <w:tcPr>
            <w:tcW w:type="dxa" w:w="1512"/>
          </w:tcPr>
          <w:p>
            <w:r>
              <w:rPr>
                <w:rFonts w:ascii="Times New Roman" w:hAnsi="Times New Roman"/>
                <w:sz w:val="19"/>
              </w:rPr>
              <w:t>257.26</w:t>
            </w:r>
          </w:p>
        </w:tc>
        <w:tc>
          <w:tcPr>
            <w:tcW w:type="dxa" w:w="1512"/>
          </w:tcPr>
          <w:p>
            <w:r>
              <w:rPr>
                <w:rFonts w:ascii="Times New Roman" w:hAnsi="Times New Roman"/>
                <w:sz w:val="19"/>
              </w:rPr>
              <w:t>2.6</w:t>
            </w:r>
          </w:p>
        </w:tc>
        <w:tc>
          <w:tcPr>
            <w:tcW w:type="dxa" w:w="1512"/>
          </w:tcPr>
          <w:p>
            <w:r>
              <w:rPr>
                <w:rFonts w:ascii="Times New Roman" w:hAnsi="Times New Roman"/>
                <w:sz w:val="19"/>
              </w:rPr>
              <w:t>78.5</w:t>
            </w:r>
          </w:p>
        </w:tc>
        <w:tc>
          <w:tcPr>
            <w:tcW w:type="dxa" w:w="1512"/>
          </w:tcPr>
          <w:p>
            <w:r>
              <w:rPr>
                <w:rFonts w:ascii="Times New Roman" w:hAnsi="Times New Roman"/>
                <w:sz w:val="19"/>
              </w:rPr>
              <w:t>2</w:t>
            </w:r>
          </w:p>
        </w:tc>
        <w:tc>
          <w:tcPr>
            <w:tcW w:type="dxa" w:w="1512"/>
          </w:tcPr>
          <w:p>
            <w:r>
              <w:rPr>
                <w:rFonts w:ascii="Times New Roman" w:hAnsi="Times New Roman"/>
                <w:sz w:val="19"/>
              </w:rPr>
              <w:t>4</w:t>
            </w:r>
          </w:p>
        </w:tc>
      </w:tr>
      <w:tr>
        <w:tc>
          <w:tcPr>
            <w:tcW w:type="dxa" w:w="1512"/>
          </w:tcPr>
          <w:p>
            <w:r>
              <w:rPr>
                <w:rFonts w:ascii="Times New Roman" w:hAnsi="Times New Roman"/>
                <w:sz w:val="19"/>
              </w:rPr>
              <w:t>disulfiram</w:t>
            </w:r>
          </w:p>
        </w:tc>
        <w:tc>
          <w:tcPr>
            <w:tcW w:type="dxa" w:w="1512"/>
          </w:tcPr>
          <w:p>
            <w:r>
              <w:rPr>
                <w:rFonts w:ascii="Times New Roman" w:hAnsi="Times New Roman"/>
                <w:sz w:val="19"/>
              </w:rPr>
              <w:t>296.5</w:t>
            </w:r>
          </w:p>
        </w:tc>
        <w:tc>
          <w:tcPr>
            <w:tcW w:type="dxa" w:w="1512"/>
          </w:tcPr>
          <w:p>
            <w:r>
              <w:rPr>
                <w:rFonts w:ascii="Times New Roman" w:hAnsi="Times New Roman"/>
                <w:sz w:val="19"/>
              </w:rPr>
              <w:t>3.9</w:t>
            </w:r>
          </w:p>
        </w:tc>
        <w:tc>
          <w:tcPr>
            <w:tcW w:type="dxa" w:w="1512"/>
          </w:tcPr>
          <w:p>
            <w:r>
              <w:rPr>
                <w:rFonts w:ascii="Times New Roman" w:hAnsi="Times New Roman"/>
                <w:sz w:val="19"/>
              </w:rPr>
              <w:t>121</w:t>
            </w:r>
          </w:p>
        </w:tc>
        <w:tc>
          <w:tcPr>
            <w:tcW w:type="dxa" w:w="1512"/>
          </w:tcPr>
          <w:p>
            <w:r>
              <w:rPr>
                <w:rFonts w:ascii="Times New Roman" w:hAnsi="Times New Roman"/>
                <w:sz w:val="19"/>
              </w:rPr>
              <w:t>0</w:t>
            </w:r>
          </w:p>
        </w:tc>
        <w:tc>
          <w:tcPr>
            <w:tcW w:type="dxa" w:w="1512"/>
          </w:tcPr>
          <w:p>
            <w:r>
              <w:rPr>
                <w:rFonts w:ascii="Times New Roman" w:hAnsi="Times New Roman"/>
                <w:sz w:val="19"/>
              </w:rPr>
              <w:t>4</w:t>
            </w:r>
          </w:p>
        </w:tc>
      </w:tr>
      <w:tr>
        <w:tc>
          <w:tcPr>
            <w:tcW w:type="dxa" w:w="1512"/>
          </w:tcPr>
          <w:p>
            <w:r>
              <w:rPr>
                <w:rFonts w:ascii="Times New Roman" w:hAnsi="Times New Roman"/>
                <w:sz w:val="19"/>
              </w:rPr>
              <w:t>tideglusib</w:t>
            </w:r>
          </w:p>
        </w:tc>
        <w:tc>
          <w:tcPr>
            <w:tcW w:type="dxa" w:w="1512"/>
          </w:tcPr>
          <w:p>
            <w:r>
              <w:rPr>
                <w:rFonts w:ascii="Times New Roman" w:hAnsi="Times New Roman"/>
                <w:sz w:val="19"/>
              </w:rPr>
              <w:t>334.4</w:t>
            </w:r>
          </w:p>
        </w:tc>
        <w:tc>
          <w:tcPr>
            <w:tcW w:type="dxa" w:w="1512"/>
          </w:tcPr>
          <w:p>
            <w:r>
              <w:rPr>
                <w:rFonts w:ascii="Times New Roman" w:hAnsi="Times New Roman"/>
                <w:sz w:val="19"/>
              </w:rPr>
              <w:t>4.3</w:t>
            </w:r>
          </w:p>
        </w:tc>
        <w:tc>
          <w:tcPr>
            <w:tcW w:type="dxa" w:w="1512"/>
          </w:tcPr>
          <w:p>
            <w:r>
              <w:rPr>
                <w:rFonts w:ascii="Times New Roman" w:hAnsi="Times New Roman"/>
                <w:sz w:val="19"/>
              </w:rPr>
              <w:t>65.9</w:t>
            </w:r>
          </w:p>
        </w:tc>
        <w:tc>
          <w:tcPr>
            <w:tcW w:type="dxa" w:w="1512"/>
          </w:tcPr>
          <w:p>
            <w:r>
              <w:rPr>
                <w:rFonts w:ascii="Times New Roman" w:hAnsi="Times New Roman"/>
                <w:sz w:val="19"/>
              </w:rPr>
              <w:t>0</w:t>
            </w:r>
          </w:p>
        </w:tc>
        <w:tc>
          <w:tcPr>
            <w:tcW w:type="dxa" w:w="1512"/>
          </w:tcPr>
          <w:p>
            <w:r>
              <w:rPr>
                <w:rFonts w:ascii="Times New Roman" w:hAnsi="Times New Roman"/>
                <w:sz w:val="19"/>
              </w:rPr>
              <w:t>3</w:t>
            </w:r>
          </w:p>
        </w:tc>
      </w:tr>
      <w:tr>
        <w:tc>
          <w:tcPr>
            <w:tcW w:type="dxa" w:w="1512"/>
          </w:tcPr>
          <w:p>
            <w:r>
              <w:rPr>
                <w:rFonts w:ascii="Times New Roman" w:hAnsi="Times New Roman"/>
                <w:sz w:val="19"/>
              </w:rPr>
              <w:t>masitinib</w:t>
            </w:r>
          </w:p>
        </w:tc>
        <w:tc>
          <w:tcPr>
            <w:tcW w:type="dxa" w:w="1512"/>
          </w:tcPr>
          <w:p>
            <w:r>
              <w:rPr>
                <w:rFonts w:ascii="Times New Roman" w:hAnsi="Times New Roman"/>
                <w:sz w:val="19"/>
              </w:rPr>
              <w:t>498.6</w:t>
            </w:r>
          </w:p>
        </w:tc>
        <w:tc>
          <w:tcPr>
            <w:tcW w:type="dxa" w:w="1512"/>
          </w:tcPr>
          <w:p>
            <w:r>
              <w:rPr>
                <w:rFonts w:ascii="Times New Roman" w:hAnsi="Times New Roman"/>
                <w:sz w:val="19"/>
              </w:rPr>
              <w:t>4.3</w:t>
            </w:r>
          </w:p>
        </w:tc>
        <w:tc>
          <w:tcPr>
            <w:tcW w:type="dxa" w:w="1512"/>
          </w:tcPr>
          <w:p>
            <w:r>
              <w:rPr>
                <w:rFonts w:ascii="Times New Roman" w:hAnsi="Times New Roman"/>
                <w:sz w:val="19"/>
              </w:rPr>
              <w:t>102</w:t>
            </w:r>
          </w:p>
        </w:tc>
        <w:tc>
          <w:tcPr>
            <w:tcW w:type="dxa" w:w="1512"/>
          </w:tcPr>
          <w:p>
            <w:r>
              <w:rPr>
                <w:rFonts w:ascii="Times New Roman" w:hAnsi="Times New Roman"/>
                <w:sz w:val="19"/>
              </w:rPr>
              <w:t>2</w:t>
            </w:r>
          </w:p>
        </w:tc>
        <w:tc>
          <w:tcPr>
            <w:tcW w:type="dxa" w:w="1512"/>
          </w:tcPr>
          <w:p>
            <w:r>
              <w:rPr>
                <w:rFonts w:ascii="Times New Roman" w:hAnsi="Times New Roman"/>
                <w:sz w:val="19"/>
              </w:rPr>
              <w:t>7</w:t>
            </w:r>
          </w:p>
        </w:tc>
      </w:tr>
      <w:tr>
        <w:tc>
          <w:tcPr>
            <w:tcW w:type="dxa" w:w="1512"/>
          </w:tcPr>
          <w:p>
            <w:r>
              <w:rPr>
                <w:rFonts w:ascii="Times New Roman" w:hAnsi="Times New Roman"/>
                <w:sz w:val="19"/>
              </w:rPr>
              <w:t>lopinavir</w:t>
            </w:r>
          </w:p>
        </w:tc>
        <w:tc>
          <w:tcPr>
            <w:tcW w:type="dxa" w:w="1512"/>
          </w:tcPr>
          <w:p>
            <w:r>
              <w:rPr>
                <w:rFonts w:ascii="Times New Roman" w:hAnsi="Times New Roman"/>
                <w:sz w:val="19"/>
              </w:rPr>
              <w:t>628.8</w:t>
            </w:r>
          </w:p>
        </w:tc>
        <w:tc>
          <w:tcPr>
            <w:tcW w:type="dxa" w:w="1512"/>
          </w:tcPr>
          <w:p>
            <w:r>
              <w:rPr>
                <w:rFonts w:ascii="Times New Roman" w:hAnsi="Times New Roman"/>
                <w:sz w:val="19"/>
              </w:rPr>
              <w:t>5.9</w:t>
            </w:r>
          </w:p>
        </w:tc>
        <w:tc>
          <w:tcPr>
            <w:tcW w:type="dxa" w:w="1512"/>
          </w:tcPr>
          <w:p>
            <w:r>
              <w:rPr>
                <w:rFonts w:ascii="Times New Roman" w:hAnsi="Times New Roman"/>
                <w:sz w:val="19"/>
              </w:rPr>
              <w:t>120</w:t>
            </w:r>
          </w:p>
        </w:tc>
        <w:tc>
          <w:tcPr>
            <w:tcW w:type="dxa" w:w="1512"/>
          </w:tcPr>
          <w:p>
            <w:r>
              <w:rPr>
                <w:rFonts w:ascii="Times New Roman" w:hAnsi="Times New Roman"/>
                <w:sz w:val="19"/>
              </w:rPr>
              <w:t>4</w:t>
            </w:r>
          </w:p>
        </w:tc>
        <w:tc>
          <w:tcPr>
            <w:tcW w:type="dxa" w:w="1512"/>
          </w:tcPr>
          <w:p>
            <w:r>
              <w:rPr>
                <w:rFonts w:ascii="Times New Roman" w:hAnsi="Times New Roman"/>
                <w:sz w:val="19"/>
              </w:rPr>
              <w:t>5</w:t>
            </w:r>
          </w:p>
        </w:tc>
      </w:tr>
      <w:tr>
        <w:tc>
          <w:tcPr>
            <w:tcW w:type="dxa" w:w="1512"/>
          </w:tcPr>
          <w:p>
            <w:r>
              <w:rPr>
                <w:rFonts w:ascii="Times New Roman" w:hAnsi="Times New Roman"/>
                <w:sz w:val="19"/>
              </w:rPr>
              <w:t>atazanavir</w:t>
            </w:r>
          </w:p>
        </w:tc>
        <w:tc>
          <w:tcPr>
            <w:tcW w:type="dxa" w:w="1512"/>
          </w:tcPr>
          <w:p>
            <w:r>
              <w:rPr>
                <w:rFonts w:ascii="Times New Roman" w:hAnsi="Times New Roman"/>
                <w:sz w:val="19"/>
              </w:rPr>
              <w:t>704.9</w:t>
            </w:r>
          </w:p>
        </w:tc>
        <w:tc>
          <w:tcPr>
            <w:tcW w:type="dxa" w:w="1512"/>
          </w:tcPr>
          <w:p>
            <w:r>
              <w:rPr>
                <w:rFonts w:ascii="Times New Roman" w:hAnsi="Times New Roman"/>
                <w:sz w:val="19"/>
              </w:rPr>
              <w:t>5.6</w:t>
            </w:r>
          </w:p>
        </w:tc>
        <w:tc>
          <w:tcPr>
            <w:tcW w:type="dxa" w:w="1512"/>
          </w:tcPr>
          <w:p>
            <w:r>
              <w:rPr>
                <w:rFonts w:ascii="Times New Roman" w:hAnsi="Times New Roman"/>
                <w:sz w:val="19"/>
              </w:rPr>
              <w:t>171</w:t>
            </w:r>
          </w:p>
        </w:tc>
        <w:tc>
          <w:tcPr>
            <w:tcW w:type="dxa" w:w="1512"/>
          </w:tcPr>
          <w:p>
            <w:r>
              <w:rPr>
                <w:rFonts w:ascii="Times New Roman" w:hAnsi="Times New Roman"/>
                <w:sz w:val="19"/>
              </w:rPr>
              <w:t>5</w:t>
            </w:r>
          </w:p>
        </w:tc>
        <w:tc>
          <w:tcPr>
            <w:tcW w:type="dxa" w:w="1512"/>
          </w:tcPr>
          <w:p>
            <w:r>
              <w:rPr>
                <w:rFonts w:ascii="Times New Roman" w:hAnsi="Times New Roman"/>
                <w:sz w:val="19"/>
              </w:rPr>
              <w:t>9</w:t>
            </w:r>
          </w:p>
        </w:tc>
      </w:tr>
      <w:tr>
        <w:tc>
          <w:tcPr>
            <w:tcW w:type="dxa" w:w="1512"/>
          </w:tcPr>
          <w:p>
            <w:r>
              <w:rPr>
                <w:rFonts w:ascii="Times New Roman" w:hAnsi="Times New Roman"/>
                <w:sz w:val="19"/>
              </w:rPr>
              <w:t>darunavir</w:t>
            </w:r>
          </w:p>
        </w:tc>
        <w:tc>
          <w:tcPr>
            <w:tcW w:type="dxa" w:w="1512"/>
          </w:tcPr>
          <w:p>
            <w:r>
              <w:rPr>
                <w:rFonts w:ascii="Times New Roman" w:hAnsi="Times New Roman"/>
                <w:sz w:val="19"/>
              </w:rPr>
              <w:t>547.7</w:t>
            </w:r>
          </w:p>
        </w:tc>
        <w:tc>
          <w:tcPr>
            <w:tcW w:type="dxa" w:w="1512"/>
          </w:tcPr>
          <w:p>
            <w:r>
              <w:rPr>
                <w:rFonts w:ascii="Times New Roman" w:hAnsi="Times New Roman"/>
                <w:sz w:val="19"/>
              </w:rPr>
              <w:t>2.9</w:t>
            </w:r>
          </w:p>
        </w:tc>
        <w:tc>
          <w:tcPr>
            <w:tcW w:type="dxa" w:w="1512"/>
          </w:tcPr>
          <w:p>
            <w:r>
              <w:rPr>
                <w:rFonts w:ascii="Times New Roman" w:hAnsi="Times New Roman"/>
                <w:sz w:val="19"/>
              </w:rPr>
              <w:t>149</w:t>
            </w:r>
          </w:p>
        </w:tc>
        <w:tc>
          <w:tcPr>
            <w:tcW w:type="dxa" w:w="1512"/>
          </w:tcPr>
          <w:p>
            <w:r>
              <w:rPr>
                <w:rFonts w:ascii="Times New Roman" w:hAnsi="Times New Roman"/>
                <w:sz w:val="19"/>
              </w:rPr>
              <w:t>3</w:t>
            </w:r>
          </w:p>
        </w:tc>
        <w:tc>
          <w:tcPr>
            <w:tcW w:type="dxa" w:w="1512"/>
          </w:tcPr>
          <w:p>
            <w:r>
              <w:rPr>
                <w:rFonts w:ascii="Times New Roman" w:hAnsi="Times New Roman"/>
                <w:sz w:val="19"/>
              </w:rPr>
              <w:t>9</w:t>
            </w:r>
          </w:p>
        </w:tc>
      </w:tr>
      <w:tr>
        <w:tc>
          <w:tcPr>
            <w:tcW w:type="dxa" w:w="1512"/>
          </w:tcPr>
          <w:p>
            <w:r>
              <w:rPr>
                <w:rFonts w:ascii="Times New Roman" w:hAnsi="Times New Roman"/>
                <w:sz w:val="19"/>
              </w:rPr>
              <w:t>saquinavir</w:t>
            </w:r>
          </w:p>
        </w:tc>
        <w:tc>
          <w:tcPr>
            <w:tcW w:type="dxa" w:w="1512"/>
          </w:tcPr>
          <w:p>
            <w:r>
              <w:rPr>
                <w:rFonts w:ascii="Times New Roman" w:hAnsi="Times New Roman"/>
                <w:sz w:val="19"/>
              </w:rPr>
              <w:t>670.8</w:t>
            </w:r>
          </w:p>
        </w:tc>
        <w:tc>
          <w:tcPr>
            <w:tcW w:type="dxa" w:w="1512"/>
          </w:tcPr>
          <w:p>
            <w:r>
              <w:rPr>
                <w:rFonts w:ascii="Times New Roman" w:hAnsi="Times New Roman"/>
                <w:sz w:val="19"/>
              </w:rPr>
              <w:t>4.2</w:t>
            </w:r>
          </w:p>
        </w:tc>
        <w:tc>
          <w:tcPr>
            <w:tcW w:type="dxa" w:w="1512"/>
          </w:tcPr>
          <w:p>
            <w:r>
              <w:rPr>
                <w:rFonts w:ascii="Times New Roman" w:hAnsi="Times New Roman"/>
                <w:sz w:val="19"/>
              </w:rPr>
              <w:t>167</w:t>
            </w:r>
          </w:p>
        </w:tc>
        <w:tc>
          <w:tcPr>
            <w:tcW w:type="dxa" w:w="1512"/>
          </w:tcPr>
          <w:p>
            <w:r>
              <w:rPr>
                <w:rFonts w:ascii="Times New Roman" w:hAnsi="Times New Roman"/>
                <w:sz w:val="19"/>
              </w:rPr>
              <w:t>5</w:t>
            </w:r>
          </w:p>
        </w:tc>
        <w:tc>
          <w:tcPr>
            <w:tcW w:type="dxa" w:w="1512"/>
          </w:tcPr>
          <w:p>
            <w:r>
              <w:rPr>
                <w:rFonts w:ascii="Times New Roman" w:hAnsi="Times New Roman"/>
                <w:sz w:val="19"/>
              </w:rPr>
              <w:t>7</w:t>
            </w:r>
          </w:p>
        </w:tc>
      </w:tr>
      <w:tr>
        <w:tc>
          <w:tcPr>
            <w:tcW w:type="dxa" w:w="1512"/>
          </w:tcPr>
          <w:p>
            <w:r>
              <w:rPr>
                <w:rFonts w:ascii="Times New Roman" w:hAnsi="Times New Roman"/>
                <w:sz w:val="19"/>
              </w:rPr>
              <w:t>indinavir</w:t>
            </w:r>
          </w:p>
        </w:tc>
        <w:tc>
          <w:tcPr>
            <w:tcW w:type="dxa" w:w="1512"/>
          </w:tcPr>
          <w:p>
            <w:r>
              <w:rPr>
                <w:rFonts w:ascii="Times New Roman" w:hAnsi="Times New Roman"/>
                <w:sz w:val="19"/>
              </w:rPr>
              <w:t>613.8</w:t>
            </w:r>
          </w:p>
        </w:tc>
        <w:tc>
          <w:tcPr>
            <w:tcW w:type="dxa" w:w="1512"/>
          </w:tcPr>
          <w:p>
            <w:r>
              <w:rPr>
                <w:rFonts w:ascii="Times New Roman" w:hAnsi="Times New Roman"/>
                <w:sz w:val="19"/>
              </w:rPr>
              <w:t>2.8</w:t>
            </w:r>
          </w:p>
        </w:tc>
        <w:tc>
          <w:tcPr>
            <w:tcW w:type="dxa" w:w="1512"/>
          </w:tcPr>
          <w:p>
            <w:r>
              <w:rPr>
                <w:rFonts w:ascii="Times New Roman" w:hAnsi="Times New Roman"/>
                <w:sz w:val="19"/>
              </w:rPr>
              <w:t>118</w:t>
            </w:r>
          </w:p>
        </w:tc>
        <w:tc>
          <w:tcPr>
            <w:tcW w:type="dxa" w:w="1512"/>
          </w:tcPr>
          <w:p>
            <w:r>
              <w:rPr>
                <w:rFonts w:ascii="Times New Roman" w:hAnsi="Times New Roman"/>
                <w:sz w:val="19"/>
              </w:rPr>
              <w:t>4</w:t>
            </w:r>
          </w:p>
        </w:tc>
        <w:tc>
          <w:tcPr>
            <w:tcW w:type="dxa" w:w="1512"/>
          </w:tcPr>
          <w:p>
            <w:r>
              <w:rPr>
                <w:rFonts w:ascii="Times New Roman" w:hAnsi="Times New Roman"/>
                <w:sz w:val="19"/>
              </w:rPr>
              <w:t>7</w:t>
            </w:r>
          </w:p>
        </w:tc>
      </w:tr>
      <w:tr>
        <w:tc>
          <w:tcPr>
            <w:tcW w:type="dxa" w:w="1512"/>
          </w:tcPr>
          <w:p>
            <w:r>
              <w:rPr>
                <w:rFonts w:ascii="Times New Roman" w:hAnsi="Times New Roman"/>
                <w:sz w:val="19"/>
              </w:rPr>
              <w:t>nelfinavir</w:t>
            </w:r>
          </w:p>
        </w:tc>
        <w:tc>
          <w:tcPr>
            <w:tcW w:type="dxa" w:w="1512"/>
          </w:tcPr>
          <w:p>
            <w:r>
              <w:rPr>
                <w:rFonts w:ascii="Times New Roman" w:hAnsi="Times New Roman"/>
                <w:sz w:val="19"/>
              </w:rPr>
              <w:t>567.8</w:t>
            </w:r>
          </w:p>
        </w:tc>
        <w:tc>
          <w:tcPr>
            <w:tcW w:type="dxa" w:w="1512"/>
          </w:tcPr>
          <w:p>
            <w:r>
              <w:rPr>
                <w:rFonts w:ascii="Times New Roman" w:hAnsi="Times New Roman"/>
                <w:sz w:val="19"/>
              </w:rPr>
              <w:t>5.7</w:t>
            </w:r>
          </w:p>
        </w:tc>
        <w:tc>
          <w:tcPr>
            <w:tcW w:type="dxa" w:w="1512"/>
          </w:tcPr>
          <w:p>
            <w:r>
              <w:rPr>
                <w:rFonts w:ascii="Times New Roman" w:hAnsi="Times New Roman"/>
                <w:sz w:val="19"/>
              </w:rPr>
              <w:t>127</w:t>
            </w:r>
          </w:p>
        </w:tc>
        <w:tc>
          <w:tcPr>
            <w:tcW w:type="dxa" w:w="1512"/>
          </w:tcPr>
          <w:p>
            <w:r>
              <w:rPr>
                <w:rFonts w:ascii="Times New Roman" w:hAnsi="Times New Roman"/>
                <w:sz w:val="19"/>
              </w:rPr>
              <w:t>4</w:t>
            </w:r>
          </w:p>
        </w:tc>
        <w:tc>
          <w:tcPr>
            <w:tcW w:type="dxa" w:w="1512"/>
          </w:tcPr>
          <w:p>
            <w:r>
              <w:rPr>
                <w:rFonts w:ascii="Times New Roman" w:hAnsi="Times New Roman"/>
                <w:sz w:val="19"/>
              </w:rPr>
              <w:t>6</w:t>
            </w:r>
          </w:p>
        </w:tc>
      </w:tr>
      <w:tr>
        <w:tc>
          <w:tcPr>
            <w:tcW w:type="dxa" w:w="1512"/>
          </w:tcPr>
          <w:p>
            <w:r>
              <w:rPr>
                <w:rFonts w:ascii="Times New Roman" w:hAnsi="Times New Roman"/>
                <w:sz w:val="19"/>
              </w:rPr>
              <w:t>chloroquine</w:t>
            </w:r>
          </w:p>
        </w:tc>
        <w:tc>
          <w:tcPr>
            <w:tcW w:type="dxa" w:w="1512"/>
          </w:tcPr>
          <w:p>
            <w:r>
              <w:rPr>
                <w:rFonts w:ascii="Times New Roman" w:hAnsi="Times New Roman"/>
                <w:sz w:val="19"/>
              </w:rPr>
              <w:t>319.9</w:t>
            </w:r>
          </w:p>
        </w:tc>
        <w:tc>
          <w:tcPr>
            <w:tcW w:type="dxa" w:w="1512"/>
          </w:tcPr>
          <w:p>
            <w:r>
              <w:rPr>
                <w:rFonts w:ascii="Times New Roman" w:hAnsi="Times New Roman"/>
                <w:sz w:val="19"/>
              </w:rPr>
              <w:t>4.6</w:t>
            </w:r>
          </w:p>
        </w:tc>
        <w:tc>
          <w:tcPr>
            <w:tcW w:type="dxa" w:w="1512"/>
          </w:tcPr>
          <w:p>
            <w:r>
              <w:rPr>
                <w:rFonts w:ascii="Times New Roman" w:hAnsi="Times New Roman"/>
                <w:sz w:val="19"/>
              </w:rPr>
              <w:t>28.2</w:t>
            </w:r>
          </w:p>
        </w:tc>
        <w:tc>
          <w:tcPr>
            <w:tcW w:type="dxa" w:w="1512"/>
          </w:tcPr>
          <w:p>
            <w:r>
              <w:rPr>
                <w:rFonts w:ascii="Times New Roman" w:hAnsi="Times New Roman"/>
                <w:sz w:val="19"/>
              </w:rPr>
              <w:t>1</w:t>
            </w:r>
          </w:p>
        </w:tc>
        <w:tc>
          <w:tcPr>
            <w:tcW w:type="dxa" w:w="1512"/>
          </w:tcPr>
          <w:p>
            <w:r>
              <w:rPr>
                <w:rFonts w:ascii="Times New Roman" w:hAnsi="Times New Roman"/>
                <w:sz w:val="19"/>
              </w:rPr>
              <w:t>3</w:t>
            </w:r>
          </w:p>
        </w:tc>
      </w:tr>
      <w:tr>
        <w:tc>
          <w:tcPr>
            <w:tcW w:type="dxa" w:w="1512"/>
          </w:tcPr>
          <w:p>
            <w:r>
              <w:rPr>
                <w:rFonts w:ascii="Times New Roman" w:hAnsi="Times New Roman"/>
                <w:sz w:val="19"/>
              </w:rPr>
              <w:t>hydroxychloroquine</w:t>
            </w:r>
          </w:p>
        </w:tc>
        <w:tc>
          <w:tcPr>
            <w:tcW w:type="dxa" w:w="1512"/>
          </w:tcPr>
          <w:p>
            <w:r>
              <w:rPr>
                <w:rFonts w:ascii="Times New Roman" w:hAnsi="Times New Roman"/>
                <w:sz w:val="19"/>
              </w:rPr>
              <w:t>335.9</w:t>
            </w:r>
          </w:p>
        </w:tc>
        <w:tc>
          <w:tcPr>
            <w:tcW w:type="dxa" w:w="1512"/>
          </w:tcPr>
          <w:p>
            <w:r>
              <w:rPr>
                <w:rFonts w:ascii="Times New Roman" w:hAnsi="Times New Roman"/>
                <w:sz w:val="19"/>
              </w:rPr>
              <w:t>3.6</w:t>
            </w:r>
          </w:p>
        </w:tc>
        <w:tc>
          <w:tcPr>
            <w:tcW w:type="dxa" w:w="1512"/>
          </w:tcPr>
          <w:p>
            <w:r>
              <w:rPr>
                <w:rFonts w:ascii="Times New Roman" w:hAnsi="Times New Roman"/>
                <w:sz w:val="19"/>
              </w:rPr>
              <w:t>48.4</w:t>
            </w:r>
          </w:p>
        </w:tc>
        <w:tc>
          <w:tcPr>
            <w:tcW w:type="dxa" w:w="1512"/>
          </w:tcPr>
          <w:p>
            <w:r>
              <w:rPr>
                <w:rFonts w:ascii="Times New Roman" w:hAnsi="Times New Roman"/>
                <w:sz w:val="19"/>
              </w:rPr>
              <w:t>2</w:t>
            </w:r>
          </w:p>
        </w:tc>
        <w:tc>
          <w:tcPr>
            <w:tcW w:type="dxa" w:w="1512"/>
          </w:tcPr>
          <w:p>
            <w:r>
              <w:rPr>
                <w:rFonts w:ascii="Times New Roman" w:hAnsi="Times New Roman"/>
                <w:sz w:val="19"/>
              </w:rPr>
              <w:t>4</w:t>
            </w:r>
          </w:p>
        </w:tc>
      </w:tr>
      <w:tr>
        <w:tc>
          <w:tcPr>
            <w:tcW w:type="dxa" w:w="1512"/>
          </w:tcPr>
          <w:p>
            <w:r>
              <w:rPr>
                <w:rFonts w:ascii="Times New Roman" w:hAnsi="Times New Roman"/>
                <w:sz w:val="19"/>
              </w:rPr>
              <w:t>ritonavir</w:t>
            </w:r>
          </w:p>
        </w:tc>
        <w:tc>
          <w:tcPr>
            <w:tcW w:type="dxa" w:w="1512"/>
          </w:tcPr>
          <w:p>
            <w:r>
              <w:rPr>
                <w:rFonts w:ascii="Times New Roman" w:hAnsi="Times New Roman"/>
                <w:sz w:val="19"/>
              </w:rPr>
              <w:t>720.9</w:t>
            </w:r>
          </w:p>
        </w:tc>
        <w:tc>
          <w:tcPr>
            <w:tcW w:type="dxa" w:w="1512"/>
          </w:tcPr>
          <w:p>
            <w:r>
              <w:rPr>
                <w:rFonts w:ascii="Times New Roman" w:hAnsi="Times New Roman"/>
                <w:sz w:val="19"/>
              </w:rPr>
              <w:t>6</w:t>
            </w:r>
          </w:p>
        </w:tc>
        <w:tc>
          <w:tcPr>
            <w:tcW w:type="dxa" w:w="1512"/>
          </w:tcPr>
          <w:p>
            <w:r>
              <w:rPr>
                <w:rFonts w:ascii="Times New Roman" w:hAnsi="Times New Roman"/>
                <w:sz w:val="19"/>
              </w:rPr>
              <w:t>202</w:t>
            </w:r>
          </w:p>
        </w:tc>
        <w:tc>
          <w:tcPr>
            <w:tcW w:type="dxa" w:w="1512"/>
          </w:tcPr>
          <w:p>
            <w:r>
              <w:rPr>
                <w:rFonts w:ascii="Times New Roman" w:hAnsi="Times New Roman"/>
                <w:sz w:val="19"/>
              </w:rPr>
              <w:t>4</w:t>
            </w:r>
          </w:p>
        </w:tc>
        <w:tc>
          <w:tcPr>
            <w:tcW w:type="dxa" w:w="1512"/>
          </w:tcPr>
          <w:p>
            <w:r>
              <w:rPr>
                <w:rFonts w:ascii="Times New Roman" w:hAnsi="Times New Roman"/>
                <w:sz w:val="19"/>
              </w:rPr>
              <w:t>9</w:t>
            </w:r>
          </w:p>
        </w:tc>
      </w:tr>
      <w:tr>
        <w:tc>
          <w:tcPr>
            <w:tcW w:type="dxa" w:w="1512"/>
          </w:tcPr>
          <w:p>
            <w:r>
              <w:rPr>
                <w:rFonts w:ascii="Times New Roman" w:hAnsi="Times New Roman"/>
                <w:sz w:val="19"/>
              </w:rPr>
              <w:t>remdesivir</w:t>
            </w:r>
          </w:p>
        </w:tc>
        <w:tc>
          <w:tcPr>
            <w:tcW w:type="dxa" w:w="1512"/>
          </w:tcPr>
          <w:p>
            <w:r>
              <w:rPr>
                <w:rFonts w:ascii="Times New Roman" w:hAnsi="Times New Roman"/>
                <w:sz w:val="19"/>
              </w:rPr>
              <w:t>602.6</w:t>
            </w:r>
          </w:p>
        </w:tc>
        <w:tc>
          <w:tcPr>
            <w:tcW w:type="dxa" w:w="1512"/>
          </w:tcPr>
          <w:p>
            <w:r>
              <w:rPr>
                <w:rFonts w:ascii="Times New Roman" w:hAnsi="Times New Roman"/>
                <w:sz w:val="19"/>
              </w:rPr>
              <w:t>1.9</w:t>
            </w:r>
          </w:p>
        </w:tc>
        <w:tc>
          <w:tcPr>
            <w:tcW w:type="dxa" w:w="1512"/>
          </w:tcPr>
          <w:p>
            <w:r>
              <w:rPr>
                <w:rFonts w:ascii="Times New Roman" w:hAnsi="Times New Roman"/>
                <w:sz w:val="19"/>
              </w:rPr>
              <w:t>204</w:t>
            </w:r>
          </w:p>
        </w:tc>
        <w:tc>
          <w:tcPr>
            <w:tcW w:type="dxa" w:w="1512"/>
          </w:tcPr>
          <w:p>
            <w:r>
              <w:rPr>
                <w:rFonts w:ascii="Times New Roman" w:hAnsi="Times New Roman"/>
                <w:sz w:val="19"/>
              </w:rPr>
              <w:t>4</w:t>
            </w:r>
          </w:p>
        </w:tc>
        <w:tc>
          <w:tcPr>
            <w:tcW w:type="dxa" w:w="1512"/>
          </w:tcPr>
          <w:p>
            <w:r>
              <w:rPr>
                <w:rFonts w:ascii="Times New Roman" w:hAnsi="Times New Roman"/>
                <w:sz w:val="19"/>
              </w:rPr>
              <w:t>13</w:t>
            </w:r>
          </w:p>
        </w:tc>
      </w:tr>
      <w:tr>
        <w:tc>
          <w:tcPr>
            <w:tcW w:type="dxa" w:w="1512"/>
          </w:tcPr>
          <w:p>
            <w:r>
              <w:rPr>
                <w:rFonts w:ascii="Times New Roman" w:hAnsi="Times New Roman"/>
                <w:sz w:val="19"/>
              </w:rPr>
              <w:t>molnupiravir</w:t>
            </w:r>
          </w:p>
        </w:tc>
        <w:tc>
          <w:tcPr>
            <w:tcW w:type="dxa" w:w="1512"/>
          </w:tcPr>
          <w:p>
            <w:r>
              <w:rPr>
                <w:rFonts w:ascii="Times New Roman" w:hAnsi="Times New Roman"/>
                <w:sz w:val="19"/>
              </w:rPr>
              <w:t>329.31</w:t>
            </w:r>
          </w:p>
        </w:tc>
        <w:tc>
          <w:tcPr>
            <w:tcW w:type="dxa" w:w="1512"/>
          </w:tcPr>
          <w:p>
            <w:r>
              <w:rPr>
                <w:rFonts w:ascii="Times New Roman" w:hAnsi="Times New Roman"/>
                <w:sz w:val="19"/>
              </w:rPr>
              <w:t>-0.8</w:t>
            </w:r>
          </w:p>
        </w:tc>
        <w:tc>
          <w:tcPr>
            <w:tcW w:type="dxa" w:w="1512"/>
          </w:tcPr>
          <w:p>
            <w:r>
              <w:rPr>
                <w:rFonts w:ascii="Times New Roman" w:hAnsi="Times New Roman"/>
                <w:sz w:val="19"/>
              </w:rPr>
              <w:t>141</w:t>
            </w:r>
          </w:p>
        </w:tc>
        <w:tc>
          <w:tcPr>
            <w:tcW w:type="dxa" w:w="1512"/>
          </w:tcPr>
          <w:p>
            <w:r>
              <w:rPr>
                <w:rFonts w:ascii="Times New Roman" w:hAnsi="Times New Roman"/>
                <w:sz w:val="19"/>
              </w:rPr>
              <w:t>4</w:t>
            </w:r>
          </w:p>
        </w:tc>
        <w:tc>
          <w:tcPr>
            <w:tcW w:type="dxa" w:w="1512"/>
          </w:tcPr>
          <w:p>
            <w:r>
              <w:rPr>
                <w:rFonts w:ascii="Times New Roman" w:hAnsi="Times New Roman"/>
                <w:sz w:val="19"/>
              </w:rPr>
              <w:t>7</w:t>
            </w:r>
          </w:p>
        </w:tc>
      </w:tr>
      <w:tr>
        <w:tc>
          <w:tcPr>
            <w:tcW w:type="dxa" w:w="1512"/>
          </w:tcPr>
          <w:p>
            <w:r>
              <w:rPr>
                <w:rFonts w:ascii="Times New Roman" w:hAnsi="Times New Roman"/>
                <w:sz w:val="19"/>
              </w:rPr>
              <w:t>favipiravir</w:t>
            </w:r>
          </w:p>
        </w:tc>
        <w:tc>
          <w:tcPr>
            <w:tcW w:type="dxa" w:w="1512"/>
          </w:tcPr>
          <w:p>
            <w:r>
              <w:rPr>
                <w:rFonts w:ascii="Times New Roman" w:hAnsi="Times New Roman"/>
                <w:sz w:val="19"/>
              </w:rPr>
              <w:t>157.10</w:t>
            </w:r>
          </w:p>
        </w:tc>
        <w:tc>
          <w:tcPr>
            <w:tcW w:type="dxa" w:w="1512"/>
          </w:tcPr>
          <w:p>
            <w:r>
              <w:rPr>
                <w:rFonts w:ascii="Times New Roman" w:hAnsi="Times New Roman"/>
                <w:sz w:val="19"/>
              </w:rPr>
              <w:t>-0.6</w:t>
            </w:r>
          </w:p>
        </w:tc>
        <w:tc>
          <w:tcPr>
            <w:tcW w:type="dxa" w:w="1512"/>
          </w:tcPr>
          <w:p>
            <w:r>
              <w:rPr>
                <w:rFonts w:ascii="Times New Roman" w:hAnsi="Times New Roman"/>
                <w:sz w:val="19"/>
              </w:rPr>
              <w:t>84.6</w:t>
            </w:r>
          </w:p>
        </w:tc>
        <w:tc>
          <w:tcPr>
            <w:tcW w:type="dxa" w:w="1512"/>
          </w:tcPr>
          <w:p>
            <w:r>
              <w:rPr>
                <w:rFonts w:ascii="Times New Roman" w:hAnsi="Times New Roman"/>
                <w:sz w:val="19"/>
              </w:rPr>
              <w:t>2</w:t>
            </w:r>
          </w:p>
        </w:tc>
        <w:tc>
          <w:tcPr>
            <w:tcW w:type="dxa" w:w="1512"/>
          </w:tcPr>
          <w:p>
            <w:r>
              <w:rPr>
                <w:rFonts w:ascii="Times New Roman" w:hAnsi="Times New Roman"/>
                <w:sz w:val="19"/>
              </w:rPr>
              <w:t>4</w:t>
            </w:r>
          </w:p>
        </w:tc>
      </w:tr>
      <w:tr>
        <w:tc>
          <w:tcPr>
            <w:tcW w:type="dxa" w:w="1512"/>
          </w:tcPr>
          <w:p>
            <w:r>
              <w:rPr>
                <w:rFonts w:ascii="Times New Roman" w:hAnsi="Times New Roman"/>
                <w:sz w:val="19"/>
              </w:rPr>
              <w:t>camostat</w:t>
            </w:r>
          </w:p>
        </w:tc>
        <w:tc>
          <w:tcPr>
            <w:tcW w:type="dxa" w:w="1512"/>
          </w:tcPr>
          <w:p>
            <w:r>
              <w:rPr>
                <w:rFonts w:ascii="Times New Roman" w:hAnsi="Times New Roman"/>
                <w:sz w:val="19"/>
              </w:rPr>
              <w:t>398.4</w:t>
            </w:r>
          </w:p>
        </w:tc>
        <w:tc>
          <w:tcPr>
            <w:tcW w:type="dxa" w:w="1512"/>
          </w:tcPr>
          <w:p>
            <w:r>
              <w:rPr>
                <w:rFonts w:ascii="Times New Roman" w:hAnsi="Times New Roman"/>
                <w:sz w:val="19"/>
              </w:rPr>
              <w:t>1.1</w:t>
            </w:r>
          </w:p>
        </w:tc>
        <w:tc>
          <w:tcPr>
            <w:tcW w:type="dxa" w:w="1512"/>
          </w:tcPr>
          <w:p>
            <w:r>
              <w:rPr>
                <w:rFonts w:ascii="Times New Roman" w:hAnsi="Times New Roman"/>
                <w:sz w:val="19"/>
              </w:rPr>
              <w:t>137</w:t>
            </w:r>
          </w:p>
        </w:tc>
        <w:tc>
          <w:tcPr>
            <w:tcW w:type="dxa" w:w="1512"/>
          </w:tcPr>
          <w:p>
            <w:r>
              <w:rPr>
                <w:rFonts w:ascii="Times New Roman" w:hAnsi="Times New Roman"/>
                <w:sz w:val="19"/>
              </w:rPr>
              <w:t>2</w:t>
            </w:r>
          </w:p>
        </w:tc>
        <w:tc>
          <w:tcPr>
            <w:tcW w:type="dxa" w:w="1512"/>
          </w:tcPr>
          <w:p>
            <w:r>
              <w:rPr>
                <w:rFonts w:ascii="Times New Roman" w:hAnsi="Times New Roman"/>
                <w:sz w:val="19"/>
              </w:rPr>
              <w:t>6</w:t>
            </w:r>
          </w:p>
        </w:tc>
      </w:tr>
      <w:tr>
        <w:tc>
          <w:tcPr>
            <w:tcW w:type="dxa" w:w="1512"/>
          </w:tcPr>
          <w:p>
            <w:r>
              <w:rPr>
                <w:rFonts w:ascii="Times New Roman" w:hAnsi="Times New Roman"/>
                <w:sz w:val="19"/>
              </w:rPr>
              <w:t>nafamostat</w:t>
            </w:r>
          </w:p>
        </w:tc>
        <w:tc>
          <w:tcPr>
            <w:tcW w:type="dxa" w:w="1512"/>
          </w:tcPr>
          <w:p>
            <w:r>
              <w:rPr>
                <w:rFonts w:ascii="Times New Roman" w:hAnsi="Times New Roman"/>
                <w:sz w:val="19"/>
              </w:rPr>
              <w:t>347.4</w:t>
            </w:r>
          </w:p>
        </w:tc>
        <w:tc>
          <w:tcPr>
            <w:tcW w:type="dxa" w:w="1512"/>
          </w:tcPr>
          <w:p>
            <w:r>
              <w:rPr>
                <w:rFonts w:ascii="Times New Roman" w:hAnsi="Times New Roman"/>
                <w:sz w:val="19"/>
              </w:rPr>
              <w:t>2</w:t>
            </w:r>
          </w:p>
        </w:tc>
        <w:tc>
          <w:tcPr>
            <w:tcW w:type="dxa" w:w="1512"/>
          </w:tcPr>
          <w:p>
            <w:r>
              <w:rPr>
                <w:rFonts w:ascii="Times New Roman" w:hAnsi="Times New Roman"/>
                <w:sz w:val="19"/>
              </w:rPr>
              <w:t>141</w:t>
            </w:r>
          </w:p>
        </w:tc>
        <w:tc>
          <w:tcPr>
            <w:tcW w:type="dxa" w:w="1512"/>
          </w:tcPr>
          <w:p>
            <w:r>
              <w:rPr>
                <w:rFonts w:ascii="Times New Roman" w:hAnsi="Times New Roman"/>
                <w:sz w:val="19"/>
              </w:rPr>
              <w:t>4</w:t>
            </w:r>
          </w:p>
        </w:tc>
        <w:tc>
          <w:tcPr>
            <w:tcW w:type="dxa" w:w="1512"/>
          </w:tcPr>
          <w:p>
            <w:r>
              <w:rPr>
                <w:rFonts w:ascii="Times New Roman" w:hAnsi="Times New Roman"/>
                <w:sz w:val="19"/>
              </w:rPr>
              <w:t>4</w:t>
            </w:r>
          </w:p>
        </w:tc>
      </w:tr>
      <w:tr>
        <w:tc>
          <w:tcPr>
            <w:tcW w:type="dxa" w:w="1512"/>
          </w:tcPr>
          <w:p>
            <w:r>
              <w:rPr>
                <w:rFonts w:ascii="Times New Roman" w:hAnsi="Times New Roman"/>
                <w:sz w:val="19"/>
              </w:rPr>
              <w:t>nilotinib</w:t>
            </w:r>
          </w:p>
        </w:tc>
        <w:tc>
          <w:tcPr>
            <w:tcW w:type="dxa" w:w="1512"/>
          </w:tcPr>
          <w:p>
            <w:r>
              <w:rPr>
                <w:rFonts w:ascii="Times New Roman" w:hAnsi="Times New Roman"/>
                <w:sz w:val="19"/>
              </w:rPr>
              <w:t>529.5</w:t>
            </w:r>
          </w:p>
        </w:tc>
        <w:tc>
          <w:tcPr>
            <w:tcW w:type="dxa" w:w="1512"/>
          </w:tcPr>
          <w:p>
            <w:r>
              <w:rPr>
                <w:rFonts w:ascii="Times New Roman" w:hAnsi="Times New Roman"/>
                <w:sz w:val="19"/>
              </w:rPr>
              <w:t>4.9</w:t>
            </w:r>
          </w:p>
        </w:tc>
        <w:tc>
          <w:tcPr>
            <w:tcW w:type="dxa" w:w="1512"/>
          </w:tcPr>
          <w:p>
            <w:r>
              <w:rPr>
                <w:rFonts w:ascii="Times New Roman" w:hAnsi="Times New Roman"/>
                <w:sz w:val="19"/>
              </w:rPr>
              <w:t>97.6</w:t>
            </w:r>
          </w:p>
        </w:tc>
        <w:tc>
          <w:tcPr>
            <w:tcW w:type="dxa" w:w="1512"/>
          </w:tcPr>
          <w:p>
            <w:r>
              <w:rPr>
                <w:rFonts w:ascii="Times New Roman" w:hAnsi="Times New Roman"/>
                <w:sz w:val="19"/>
              </w:rPr>
              <w:t>2</w:t>
            </w:r>
          </w:p>
        </w:tc>
        <w:tc>
          <w:tcPr>
            <w:tcW w:type="dxa" w:w="1512"/>
          </w:tcPr>
          <w:p>
            <w:r>
              <w:rPr>
                <w:rFonts w:ascii="Times New Roman" w:hAnsi="Times New Roman"/>
                <w:sz w:val="19"/>
              </w:rPr>
              <w:t>9</w:t>
            </w:r>
          </w:p>
        </w:tc>
      </w:tr>
    </w:tbl>
    <w:p>
      <w:r>
        <w:rPr>
          <w:rFonts w:ascii="Times New Roman" w:hAnsi="Times New Roman"/>
          <w:b w:val="0"/>
          <w:i/>
        </w:rPr>
        <w:t>Table 7. ChEMBL molecule anchors for the screened set (22 live molecule records; 65 assay sets sampled).</w:t>
      </w:r>
    </w:p>
    <w:tbl>
      <w:tblPr>
        <w:tblStyle w:val="TableGrid"/>
        <w:tblW w:type="auto" w:w="0"/>
        <w:tblLook w:firstColumn="1" w:firstRow="1" w:lastColumn="0" w:lastRow="0" w:noHBand="0" w:noVBand="1" w:val="04A0"/>
      </w:tblPr>
      <w:tblGrid>
        <w:gridCol w:w="3024"/>
        <w:gridCol w:w="3024"/>
        <w:gridCol w:w="3024"/>
      </w:tblGrid>
      <w:tr>
        <w:tc>
          <w:tcPr>
            <w:tcW w:type="dxa" w:w="3024"/>
            <w:shd w:val="clear" w:fill="DCE6F1"/>
          </w:tcPr>
          <w:p>
            <w:r>
              <w:rPr>
                <w:rFonts w:ascii="Times New Roman" w:hAnsi="Times New Roman"/>
                <w:b/>
                <w:sz w:val="19"/>
              </w:rPr>
              <w:t>compound</w:t>
            </w:r>
          </w:p>
        </w:tc>
        <w:tc>
          <w:tcPr>
            <w:tcW w:type="dxa" w:w="3024"/>
            <w:shd w:val="clear" w:fill="DCE6F1"/>
          </w:tcPr>
          <w:p>
            <w:r>
              <w:rPr>
                <w:rFonts w:ascii="Times New Roman" w:hAnsi="Times New Roman"/>
                <w:b/>
                <w:sz w:val="19"/>
              </w:rPr>
              <w:t>ChEMBL ID</w:t>
            </w:r>
          </w:p>
        </w:tc>
        <w:tc>
          <w:tcPr>
            <w:tcW w:type="dxa" w:w="3024"/>
            <w:shd w:val="clear" w:fill="DCE6F1"/>
          </w:tcPr>
          <w:p>
            <w:r>
              <w:rPr>
                <w:rFonts w:ascii="Times New Roman" w:hAnsi="Times New Roman"/>
                <w:b/>
                <w:sz w:val="19"/>
              </w:rPr>
              <w:t>assays sampled</w:t>
            </w:r>
          </w:p>
        </w:tc>
      </w:tr>
      <w:tr>
        <w:tc>
          <w:tcPr>
            <w:tcW w:type="dxa" w:w="3024"/>
          </w:tcPr>
          <w:p>
            <w:r>
              <w:rPr>
                <w:rFonts w:ascii="Times New Roman" w:hAnsi="Times New Roman"/>
                <w:sz w:val="19"/>
              </w:rPr>
              <w:t>nirmatrelvir</w:t>
            </w:r>
          </w:p>
        </w:tc>
        <w:tc>
          <w:tcPr>
            <w:tcW w:type="dxa" w:w="3024"/>
          </w:tcPr>
          <w:p>
            <w:r>
              <w:rPr>
                <w:rFonts w:ascii="Times New Roman" w:hAnsi="Times New Roman"/>
                <w:sz w:val="19"/>
              </w:rPr>
              <w:t>CHEMBL5201264</w:t>
            </w:r>
          </w:p>
        </w:tc>
        <w:tc>
          <w:tcPr>
            <w:tcW w:type="dxa" w:w="3024"/>
          </w:tcPr>
          <w:p>
            <w:r>
              <w:rPr>
                <w:rFonts w:ascii="Times New Roman" w:hAnsi="Times New Roman"/>
                <w:sz w:val="19"/>
              </w:rPr>
              <w:t>3</w:t>
            </w:r>
          </w:p>
        </w:tc>
      </w:tr>
      <w:tr>
        <w:tc>
          <w:tcPr>
            <w:tcW w:type="dxa" w:w="3024"/>
          </w:tcPr>
          <w:p>
            <w:r>
              <w:rPr>
                <w:rFonts w:ascii="Times New Roman" w:hAnsi="Times New Roman"/>
                <w:sz w:val="19"/>
              </w:rPr>
              <w:t>boceprevir</w:t>
            </w:r>
          </w:p>
        </w:tc>
        <w:tc>
          <w:tcPr>
            <w:tcW w:type="dxa" w:w="3024"/>
          </w:tcPr>
          <w:p>
            <w:r>
              <w:rPr>
                <w:rFonts w:ascii="Times New Roman" w:hAnsi="Times New Roman"/>
                <w:sz w:val="19"/>
              </w:rPr>
              <w:t>CHEMBL4868590</w:t>
            </w:r>
          </w:p>
        </w:tc>
        <w:tc>
          <w:tcPr>
            <w:tcW w:type="dxa" w:w="3024"/>
          </w:tcPr>
          <w:p>
            <w:r>
              <w:rPr>
                <w:rFonts w:ascii="Times New Roman" w:hAnsi="Times New Roman"/>
                <w:sz w:val="19"/>
              </w:rPr>
              <w:t>2</w:t>
            </w:r>
          </w:p>
        </w:tc>
      </w:tr>
      <w:tr>
        <w:tc>
          <w:tcPr>
            <w:tcW w:type="dxa" w:w="3024"/>
          </w:tcPr>
          <w:p>
            <w:r>
              <w:rPr>
                <w:rFonts w:ascii="Times New Roman" w:hAnsi="Times New Roman"/>
                <w:sz w:val="19"/>
              </w:rPr>
              <w:t>telaprevir</w:t>
            </w:r>
          </w:p>
        </w:tc>
        <w:tc>
          <w:tcPr>
            <w:tcW w:type="dxa" w:w="3024"/>
          </w:tcPr>
          <w:p>
            <w:r>
              <w:rPr>
                <w:rFonts w:ascii="Times New Roman" w:hAnsi="Times New Roman"/>
                <w:sz w:val="19"/>
              </w:rPr>
              <w:t>CHEMBL231813</w:t>
            </w:r>
          </w:p>
        </w:tc>
        <w:tc>
          <w:tcPr>
            <w:tcW w:type="dxa" w:w="3024"/>
          </w:tcPr>
          <w:p>
            <w:r>
              <w:rPr>
                <w:rFonts w:ascii="Times New Roman" w:hAnsi="Times New Roman"/>
                <w:sz w:val="19"/>
              </w:rPr>
              <w:t>3</w:t>
            </w:r>
          </w:p>
        </w:tc>
      </w:tr>
      <w:tr>
        <w:tc>
          <w:tcPr>
            <w:tcW w:type="dxa" w:w="3024"/>
          </w:tcPr>
          <w:p>
            <w:r>
              <w:rPr>
                <w:rFonts w:ascii="Times New Roman" w:hAnsi="Times New Roman"/>
                <w:sz w:val="19"/>
              </w:rPr>
              <w:t>carmofur</w:t>
            </w:r>
          </w:p>
        </w:tc>
        <w:tc>
          <w:tcPr>
            <w:tcW w:type="dxa" w:w="3024"/>
          </w:tcPr>
          <w:p>
            <w:r>
              <w:rPr>
                <w:rFonts w:ascii="Times New Roman" w:hAnsi="Times New Roman"/>
                <w:sz w:val="19"/>
              </w:rPr>
              <w:t>CHEMBL460499</w:t>
            </w:r>
          </w:p>
        </w:tc>
        <w:tc>
          <w:tcPr>
            <w:tcW w:type="dxa" w:w="3024"/>
          </w:tcPr>
          <w:p>
            <w:r>
              <w:rPr>
                <w:rFonts w:ascii="Times New Roman" w:hAnsi="Times New Roman"/>
                <w:sz w:val="19"/>
              </w:rPr>
              <w:t>3</w:t>
            </w:r>
          </w:p>
        </w:tc>
      </w:tr>
      <w:tr>
        <w:tc>
          <w:tcPr>
            <w:tcW w:type="dxa" w:w="3024"/>
          </w:tcPr>
          <w:p>
            <w:r>
              <w:rPr>
                <w:rFonts w:ascii="Times New Roman" w:hAnsi="Times New Roman"/>
                <w:sz w:val="19"/>
              </w:rPr>
              <w:t>disulfiram</w:t>
            </w:r>
          </w:p>
        </w:tc>
        <w:tc>
          <w:tcPr>
            <w:tcW w:type="dxa" w:w="3024"/>
          </w:tcPr>
          <w:p>
            <w:r>
              <w:rPr>
                <w:rFonts w:ascii="Times New Roman" w:hAnsi="Times New Roman"/>
                <w:sz w:val="19"/>
              </w:rPr>
              <w:t>CHEMBL964</w:t>
            </w:r>
          </w:p>
        </w:tc>
        <w:tc>
          <w:tcPr>
            <w:tcW w:type="dxa" w:w="3024"/>
          </w:tcPr>
          <w:p>
            <w:r>
              <w:rPr>
                <w:rFonts w:ascii="Times New Roman" w:hAnsi="Times New Roman"/>
                <w:sz w:val="19"/>
              </w:rPr>
              <w:t>3</w:t>
            </w:r>
          </w:p>
        </w:tc>
      </w:tr>
      <w:tr>
        <w:tc>
          <w:tcPr>
            <w:tcW w:type="dxa" w:w="3024"/>
          </w:tcPr>
          <w:p>
            <w:r>
              <w:rPr>
                <w:rFonts w:ascii="Times New Roman" w:hAnsi="Times New Roman"/>
                <w:sz w:val="19"/>
              </w:rPr>
              <w:t>tideglusib</w:t>
            </w:r>
          </w:p>
        </w:tc>
        <w:tc>
          <w:tcPr>
            <w:tcW w:type="dxa" w:w="3024"/>
          </w:tcPr>
          <w:p>
            <w:r>
              <w:rPr>
                <w:rFonts w:ascii="Times New Roman" w:hAnsi="Times New Roman"/>
                <w:sz w:val="19"/>
              </w:rPr>
              <w:t>CHEMBL3545157</w:t>
            </w:r>
          </w:p>
        </w:tc>
        <w:tc>
          <w:tcPr>
            <w:tcW w:type="dxa" w:w="3024"/>
          </w:tcPr>
          <w:p>
            <w:r>
              <w:rPr>
                <w:rFonts w:ascii="Times New Roman" w:hAnsi="Times New Roman"/>
                <w:sz w:val="19"/>
              </w:rPr>
              <w:t>3</w:t>
            </w:r>
          </w:p>
        </w:tc>
      </w:tr>
      <w:tr>
        <w:tc>
          <w:tcPr>
            <w:tcW w:type="dxa" w:w="3024"/>
          </w:tcPr>
          <w:p>
            <w:r>
              <w:rPr>
                <w:rFonts w:ascii="Times New Roman" w:hAnsi="Times New Roman"/>
                <w:sz w:val="19"/>
              </w:rPr>
              <w:t>masitinib</w:t>
            </w:r>
          </w:p>
        </w:tc>
        <w:tc>
          <w:tcPr>
            <w:tcW w:type="dxa" w:w="3024"/>
          </w:tcPr>
          <w:p>
            <w:r>
              <w:rPr>
                <w:rFonts w:ascii="Times New Roman" w:hAnsi="Times New Roman"/>
                <w:sz w:val="19"/>
              </w:rPr>
              <w:t>CHEMBL1908391</w:t>
            </w:r>
          </w:p>
        </w:tc>
        <w:tc>
          <w:tcPr>
            <w:tcW w:type="dxa" w:w="3024"/>
          </w:tcPr>
          <w:p>
            <w:r>
              <w:rPr>
                <w:rFonts w:ascii="Times New Roman" w:hAnsi="Times New Roman"/>
                <w:sz w:val="19"/>
              </w:rPr>
              <w:t>3</w:t>
            </w:r>
          </w:p>
        </w:tc>
      </w:tr>
      <w:tr>
        <w:tc>
          <w:tcPr>
            <w:tcW w:type="dxa" w:w="3024"/>
          </w:tcPr>
          <w:p>
            <w:r>
              <w:rPr>
                <w:rFonts w:ascii="Times New Roman" w:hAnsi="Times New Roman"/>
                <w:sz w:val="19"/>
              </w:rPr>
              <w:t>lopinavir</w:t>
            </w:r>
          </w:p>
        </w:tc>
        <w:tc>
          <w:tcPr>
            <w:tcW w:type="dxa" w:w="3024"/>
          </w:tcPr>
          <w:p>
            <w:r>
              <w:rPr>
                <w:rFonts w:ascii="Times New Roman" w:hAnsi="Times New Roman"/>
                <w:sz w:val="19"/>
              </w:rPr>
              <w:t>CHEMBL729</w:t>
            </w:r>
          </w:p>
        </w:tc>
        <w:tc>
          <w:tcPr>
            <w:tcW w:type="dxa" w:w="3024"/>
          </w:tcPr>
          <w:p>
            <w:r>
              <w:rPr>
                <w:rFonts w:ascii="Times New Roman" w:hAnsi="Times New Roman"/>
                <w:sz w:val="19"/>
              </w:rPr>
              <w:t>3</w:t>
            </w:r>
          </w:p>
        </w:tc>
      </w:tr>
      <w:tr>
        <w:tc>
          <w:tcPr>
            <w:tcW w:type="dxa" w:w="3024"/>
          </w:tcPr>
          <w:p>
            <w:r>
              <w:rPr>
                <w:rFonts w:ascii="Times New Roman" w:hAnsi="Times New Roman"/>
                <w:sz w:val="19"/>
              </w:rPr>
              <w:t>atazanavir</w:t>
            </w:r>
          </w:p>
        </w:tc>
        <w:tc>
          <w:tcPr>
            <w:tcW w:type="dxa" w:w="3024"/>
          </w:tcPr>
          <w:p>
            <w:r>
              <w:rPr>
                <w:rFonts w:ascii="Times New Roman" w:hAnsi="Times New Roman"/>
                <w:sz w:val="19"/>
              </w:rPr>
              <w:t>CHEMBL1200678</w:t>
            </w:r>
          </w:p>
        </w:tc>
        <w:tc>
          <w:tcPr>
            <w:tcW w:type="dxa" w:w="3024"/>
          </w:tcPr>
          <w:p>
            <w:r>
              <w:rPr>
                <w:rFonts w:ascii="Times New Roman" w:hAnsi="Times New Roman"/>
                <w:sz w:val="19"/>
              </w:rPr>
              <w:t>3</w:t>
            </w:r>
          </w:p>
        </w:tc>
      </w:tr>
      <w:tr>
        <w:tc>
          <w:tcPr>
            <w:tcW w:type="dxa" w:w="3024"/>
          </w:tcPr>
          <w:p>
            <w:r>
              <w:rPr>
                <w:rFonts w:ascii="Times New Roman" w:hAnsi="Times New Roman"/>
                <w:sz w:val="19"/>
              </w:rPr>
              <w:t>darunavir</w:t>
            </w:r>
          </w:p>
        </w:tc>
        <w:tc>
          <w:tcPr>
            <w:tcW w:type="dxa" w:w="3024"/>
          </w:tcPr>
          <w:p>
            <w:r>
              <w:rPr>
                <w:rFonts w:ascii="Times New Roman" w:hAnsi="Times New Roman"/>
                <w:sz w:val="19"/>
              </w:rPr>
              <w:t>CHEMBL1201127</w:t>
            </w:r>
          </w:p>
        </w:tc>
        <w:tc>
          <w:tcPr>
            <w:tcW w:type="dxa" w:w="3024"/>
          </w:tcPr>
          <w:p>
            <w:r>
              <w:rPr>
                <w:rFonts w:ascii="Times New Roman" w:hAnsi="Times New Roman"/>
                <w:sz w:val="19"/>
              </w:rPr>
              <w:t>3</w:t>
            </w:r>
          </w:p>
        </w:tc>
      </w:tr>
      <w:tr>
        <w:tc>
          <w:tcPr>
            <w:tcW w:type="dxa" w:w="3024"/>
          </w:tcPr>
          <w:p>
            <w:r>
              <w:rPr>
                <w:rFonts w:ascii="Times New Roman" w:hAnsi="Times New Roman"/>
                <w:sz w:val="19"/>
              </w:rPr>
              <w:t>saquinavir</w:t>
            </w:r>
          </w:p>
        </w:tc>
        <w:tc>
          <w:tcPr>
            <w:tcW w:type="dxa" w:w="3024"/>
          </w:tcPr>
          <w:p>
            <w:r>
              <w:rPr>
                <w:rFonts w:ascii="Times New Roman" w:hAnsi="Times New Roman"/>
                <w:sz w:val="19"/>
              </w:rPr>
              <w:t>CHEMBL4575419</w:t>
            </w:r>
          </w:p>
        </w:tc>
        <w:tc>
          <w:tcPr>
            <w:tcW w:type="dxa" w:w="3024"/>
          </w:tcPr>
          <w:p>
            <w:r>
              <w:rPr>
                <w:rFonts w:ascii="Times New Roman" w:hAnsi="Times New Roman"/>
                <w:sz w:val="19"/>
              </w:rPr>
              <w:t>3</w:t>
            </w:r>
          </w:p>
        </w:tc>
      </w:tr>
      <w:tr>
        <w:tc>
          <w:tcPr>
            <w:tcW w:type="dxa" w:w="3024"/>
          </w:tcPr>
          <w:p>
            <w:r>
              <w:rPr>
                <w:rFonts w:ascii="Times New Roman" w:hAnsi="Times New Roman"/>
                <w:sz w:val="19"/>
              </w:rPr>
              <w:t>indinavir</w:t>
            </w:r>
          </w:p>
        </w:tc>
        <w:tc>
          <w:tcPr>
            <w:tcW w:type="dxa" w:w="3024"/>
          </w:tcPr>
          <w:p>
            <w:r>
              <w:rPr>
                <w:rFonts w:ascii="Times New Roman" w:hAnsi="Times New Roman"/>
                <w:sz w:val="19"/>
              </w:rPr>
              <w:t>CHEMBL1735</w:t>
            </w:r>
          </w:p>
        </w:tc>
        <w:tc>
          <w:tcPr>
            <w:tcW w:type="dxa" w:w="3024"/>
          </w:tcPr>
          <w:p>
            <w:r>
              <w:rPr>
                <w:rFonts w:ascii="Times New Roman" w:hAnsi="Times New Roman"/>
                <w:sz w:val="19"/>
              </w:rPr>
              <w:t>3</w:t>
            </w:r>
          </w:p>
        </w:tc>
      </w:tr>
      <w:tr>
        <w:tc>
          <w:tcPr>
            <w:tcW w:type="dxa" w:w="3024"/>
          </w:tcPr>
          <w:p>
            <w:r>
              <w:rPr>
                <w:rFonts w:ascii="Times New Roman" w:hAnsi="Times New Roman"/>
                <w:sz w:val="19"/>
              </w:rPr>
              <w:t>nelfinavir</w:t>
            </w:r>
          </w:p>
        </w:tc>
        <w:tc>
          <w:tcPr>
            <w:tcW w:type="dxa" w:w="3024"/>
          </w:tcPr>
          <w:p>
            <w:r>
              <w:rPr>
                <w:rFonts w:ascii="Times New Roman" w:hAnsi="Times New Roman"/>
                <w:sz w:val="19"/>
              </w:rPr>
              <w:t>CHEMBL365442</w:t>
            </w:r>
          </w:p>
        </w:tc>
        <w:tc>
          <w:tcPr>
            <w:tcW w:type="dxa" w:w="3024"/>
          </w:tcPr>
          <w:p>
            <w:r>
              <w:rPr>
                <w:rFonts w:ascii="Times New Roman" w:hAnsi="Times New Roman"/>
                <w:sz w:val="19"/>
              </w:rPr>
              <w:t>3</w:t>
            </w:r>
          </w:p>
        </w:tc>
      </w:tr>
      <w:tr>
        <w:tc>
          <w:tcPr>
            <w:tcW w:type="dxa" w:w="3024"/>
          </w:tcPr>
          <w:p>
            <w:r>
              <w:rPr>
                <w:rFonts w:ascii="Times New Roman" w:hAnsi="Times New Roman"/>
                <w:sz w:val="19"/>
              </w:rPr>
              <w:t>chloroquine</w:t>
            </w:r>
          </w:p>
        </w:tc>
        <w:tc>
          <w:tcPr>
            <w:tcW w:type="dxa" w:w="3024"/>
          </w:tcPr>
          <w:p>
            <w:r>
              <w:rPr>
                <w:rFonts w:ascii="Times New Roman" w:hAnsi="Times New Roman"/>
                <w:sz w:val="19"/>
              </w:rPr>
              <w:t>CHEMBL76</w:t>
            </w:r>
          </w:p>
        </w:tc>
        <w:tc>
          <w:tcPr>
            <w:tcW w:type="dxa" w:w="3024"/>
          </w:tcPr>
          <w:p>
            <w:r>
              <w:rPr>
                <w:rFonts w:ascii="Times New Roman" w:hAnsi="Times New Roman"/>
                <w:sz w:val="19"/>
              </w:rPr>
              <w:t>3</w:t>
            </w:r>
          </w:p>
        </w:tc>
      </w:tr>
      <w:tr>
        <w:tc>
          <w:tcPr>
            <w:tcW w:type="dxa" w:w="3024"/>
          </w:tcPr>
          <w:p>
            <w:r>
              <w:rPr>
                <w:rFonts w:ascii="Times New Roman" w:hAnsi="Times New Roman"/>
                <w:sz w:val="19"/>
              </w:rPr>
              <w:t>hydroxychloroquine</w:t>
            </w:r>
          </w:p>
        </w:tc>
        <w:tc>
          <w:tcPr>
            <w:tcW w:type="dxa" w:w="3024"/>
          </w:tcPr>
          <w:p>
            <w:r>
              <w:rPr>
                <w:rFonts w:ascii="Times New Roman" w:hAnsi="Times New Roman"/>
                <w:sz w:val="19"/>
              </w:rPr>
              <w:t>CHEMBL1535</w:t>
            </w:r>
          </w:p>
        </w:tc>
        <w:tc>
          <w:tcPr>
            <w:tcW w:type="dxa" w:w="3024"/>
          </w:tcPr>
          <w:p>
            <w:r>
              <w:rPr>
                <w:rFonts w:ascii="Times New Roman" w:hAnsi="Times New Roman"/>
                <w:sz w:val="19"/>
              </w:rPr>
              <w:t>3</w:t>
            </w:r>
          </w:p>
        </w:tc>
      </w:tr>
      <w:tr>
        <w:tc>
          <w:tcPr>
            <w:tcW w:type="dxa" w:w="3024"/>
          </w:tcPr>
          <w:p>
            <w:r>
              <w:rPr>
                <w:rFonts w:ascii="Times New Roman" w:hAnsi="Times New Roman"/>
                <w:sz w:val="19"/>
              </w:rPr>
              <w:t>ritonavir</w:t>
            </w:r>
          </w:p>
        </w:tc>
        <w:tc>
          <w:tcPr>
            <w:tcW w:type="dxa" w:w="3024"/>
          </w:tcPr>
          <w:p>
            <w:r>
              <w:rPr>
                <w:rFonts w:ascii="Times New Roman" w:hAnsi="Times New Roman"/>
                <w:sz w:val="19"/>
              </w:rPr>
              <w:t>CHEMBL3114713</w:t>
            </w:r>
          </w:p>
        </w:tc>
        <w:tc>
          <w:tcPr>
            <w:tcW w:type="dxa" w:w="3024"/>
          </w:tcPr>
          <w:p>
            <w:r>
              <w:rPr>
                <w:rFonts w:ascii="Times New Roman" w:hAnsi="Times New Roman"/>
                <w:sz w:val="19"/>
              </w:rPr>
              <w:t>3</w:t>
            </w:r>
          </w:p>
        </w:tc>
      </w:tr>
      <w:tr>
        <w:tc>
          <w:tcPr>
            <w:tcW w:type="dxa" w:w="3024"/>
          </w:tcPr>
          <w:p>
            <w:r>
              <w:rPr>
                <w:rFonts w:ascii="Times New Roman" w:hAnsi="Times New Roman"/>
                <w:sz w:val="19"/>
              </w:rPr>
              <w:t>remdesivir</w:t>
            </w:r>
          </w:p>
        </w:tc>
        <w:tc>
          <w:tcPr>
            <w:tcW w:type="dxa" w:w="3024"/>
          </w:tcPr>
          <w:p>
            <w:r>
              <w:rPr>
                <w:rFonts w:ascii="Times New Roman" w:hAnsi="Times New Roman"/>
                <w:sz w:val="19"/>
              </w:rPr>
              <w:t>CHEMBL5280654</w:t>
            </w:r>
          </w:p>
        </w:tc>
        <w:tc>
          <w:tcPr>
            <w:tcW w:type="dxa" w:w="3024"/>
          </w:tcPr>
          <w:p>
            <w:r>
              <w:rPr>
                <w:rFonts w:ascii="Times New Roman" w:hAnsi="Times New Roman"/>
                <w:sz w:val="19"/>
              </w:rPr>
              <w:t>3</w:t>
            </w:r>
          </w:p>
        </w:tc>
      </w:tr>
      <w:tr>
        <w:tc>
          <w:tcPr>
            <w:tcW w:type="dxa" w:w="3024"/>
          </w:tcPr>
          <w:p>
            <w:r>
              <w:rPr>
                <w:rFonts w:ascii="Times New Roman" w:hAnsi="Times New Roman"/>
                <w:sz w:val="19"/>
              </w:rPr>
              <w:t>molnupiravir</w:t>
            </w:r>
          </w:p>
        </w:tc>
        <w:tc>
          <w:tcPr>
            <w:tcW w:type="dxa" w:w="3024"/>
          </w:tcPr>
          <w:p>
            <w:r>
              <w:rPr>
                <w:rFonts w:ascii="Times New Roman" w:hAnsi="Times New Roman"/>
                <w:sz w:val="19"/>
              </w:rPr>
              <w:t>CHEMBL4650320</w:t>
            </w:r>
          </w:p>
        </w:tc>
        <w:tc>
          <w:tcPr>
            <w:tcW w:type="dxa" w:w="3024"/>
          </w:tcPr>
          <w:p>
            <w:r>
              <w:rPr>
                <w:rFonts w:ascii="Times New Roman" w:hAnsi="Times New Roman"/>
                <w:sz w:val="19"/>
              </w:rPr>
              <w:t>3</w:t>
            </w:r>
          </w:p>
        </w:tc>
      </w:tr>
      <w:tr>
        <w:tc>
          <w:tcPr>
            <w:tcW w:type="dxa" w:w="3024"/>
          </w:tcPr>
          <w:p>
            <w:r>
              <w:rPr>
                <w:rFonts w:ascii="Times New Roman" w:hAnsi="Times New Roman"/>
                <w:sz w:val="19"/>
              </w:rPr>
              <w:t>favipiravir</w:t>
            </w:r>
          </w:p>
        </w:tc>
        <w:tc>
          <w:tcPr>
            <w:tcW w:type="dxa" w:w="3024"/>
          </w:tcPr>
          <w:p>
            <w:r>
              <w:rPr>
                <w:rFonts w:ascii="Times New Roman" w:hAnsi="Times New Roman"/>
                <w:sz w:val="19"/>
              </w:rPr>
              <w:t>CHEMBL221722</w:t>
            </w:r>
          </w:p>
        </w:tc>
        <w:tc>
          <w:tcPr>
            <w:tcW w:type="dxa" w:w="3024"/>
          </w:tcPr>
          <w:p>
            <w:r>
              <w:rPr>
                <w:rFonts w:ascii="Times New Roman" w:hAnsi="Times New Roman"/>
                <w:sz w:val="19"/>
              </w:rPr>
              <w:t>3</w:t>
            </w:r>
          </w:p>
        </w:tc>
      </w:tr>
      <w:tr>
        <w:tc>
          <w:tcPr>
            <w:tcW w:type="dxa" w:w="3024"/>
          </w:tcPr>
          <w:p>
            <w:r>
              <w:rPr>
                <w:rFonts w:ascii="Times New Roman" w:hAnsi="Times New Roman"/>
                <w:sz w:val="19"/>
              </w:rPr>
              <w:t>camostat</w:t>
            </w:r>
          </w:p>
        </w:tc>
        <w:tc>
          <w:tcPr>
            <w:tcW w:type="dxa" w:w="3024"/>
          </w:tcPr>
          <w:p>
            <w:r>
              <w:rPr>
                <w:rFonts w:ascii="Times New Roman" w:hAnsi="Times New Roman"/>
                <w:sz w:val="19"/>
              </w:rPr>
              <w:t>CHEMBL590799</w:t>
            </w:r>
          </w:p>
        </w:tc>
        <w:tc>
          <w:tcPr>
            <w:tcW w:type="dxa" w:w="3024"/>
          </w:tcPr>
          <w:p>
            <w:r>
              <w:rPr>
                <w:rFonts w:ascii="Times New Roman" w:hAnsi="Times New Roman"/>
                <w:sz w:val="19"/>
              </w:rPr>
              <w:t>3</w:t>
            </w:r>
          </w:p>
        </w:tc>
      </w:tr>
      <w:tr>
        <w:tc>
          <w:tcPr>
            <w:tcW w:type="dxa" w:w="3024"/>
          </w:tcPr>
          <w:p>
            <w:r>
              <w:rPr>
                <w:rFonts w:ascii="Times New Roman" w:hAnsi="Times New Roman"/>
                <w:sz w:val="19"/>
              </w:rPr>
              <w:t>nafamostat</w:t>
            </w:r>
          </w:p>
        </w:tc>
        <w:tc>
          <w:tcPr>
            <w:tcW w:type="dxa" w:w="3024"/>
          </w:tcPr>
          <w:p>
            <w:r>
              <w:rPr>
                <w:rFonts w:ascii="Times New Roman" w:hAnsi="Times New Roman"/>
                <w:sz w:val="19"/>
              </w:rPr>
              <w:t>CHEMBL3989553</w:t>
            </w:r>
          </w:p>
        </w:tc>
        <w:tc>
          <w:tcPr>
            <w:tcW w:type="dxa" w:w="3024"/>
          </w:tcPr>
          <w:p>
            <w:r>
              <w:rPr>
                <w:rFonts w:ascii="Times New Roman" w:hAnsi="Times New Roman"/>
                <w:sz w:val="19"/>
              </w:rPr>
              <w:t>3</w:t>
            </w:r>
          </w:p>
        </w:tc>
      </w:tr>
      <w:tr>
        <w:tc>
          <w:tcPr>
            <w:tcW w:type="dxa" w:w="3024"/>
          </w:tcPr>
          <w:p>
            <w:r>
              <w:rPr>
                <w:rFonts w:ascii="Times New Roman" w:hAnsi="Times New Roman"/>
                <w:sz w:val="19"/>
              </w:rPr>
              <w:t>nilotinib</w:t>
            </w:r>
          </w:p>
        </w:tc>
        <w:tc>
          <w:tcPr>
            <w:tcW w:type="dxa" w:w="3024"/>
          </w:tcPr>
          <w:p>
            <w:r>
              <w:rPr>
                <w:rFonts w:ascii="Times New Roman" w:hAnsi="Times New Roman"/>
                <w:sz w:val="19"/>
              </w:rPr>
              <w:t>CHEMBL255863</w:t>
            </w:r>
          </w:p>
        </w:tc>
        <w:tc>
          <w:tcPr>
            <w:tcW w:type="dxa" w:w="3024"/>
          </w:tcPr>
          <w:p>
            <w:r>
              <w:rPr>
                <w:rFonts w:ascii="Times New Roman" w:hAnsi="Times New Roman"/>
                <w:sz w:val="19"/>
              </w:rPr>
              <w:t>3</w:t>
            </w:r>
          </w:p>
        </w:tc>
      </w:tr>
    </w:tbl>
    <w:p>
      <w:r>
        <w:rPr>
          <w:rFonts w:ascii="Times New Roman" w:hAnsi="Times New Roman"/>
          <w:b w:val="0"/>
          <w:i/>
        </w:rPr>
        <w:t>Table 8. ClinicalTrials.gov COVID-19 study counts for repurposed candidates.</w:t>
      </w:r>
    </w:p>
    <w:tbl>
      <w:tblPr>
        <w:tblStyle w:val="TableGrid"/>
        <w:tblW w:type="auto" w:w="0"/>
        <w:tblLook w:firstColumn="1" w:firstRow="1" w:lastColumn="0" w:lastRow="0" w:noHBand="0" w:noVBand="1" w:val="04A0"/>
      </w:tblPr>
      <w:tblGrid>
        <w:gridCol w:w="4536"/>
        <w:gridCol w:w="4536"/>
      </w:tblGrid>
      <w:tr>
        <w:tc>
          <w:tcPr>
            <w:tcW w:type="dxa" w:w="4536"/>
            <w:shd w:val="clear" w:fill="DCE6F1"/>
          </w:tcPr>
          <w:p>
            <w:r>
              <w:rPr>
                <w:rFonts w:ascii="Times New Roman" w:hAnsi="Times New Roman"/>
                <w:b/>
                <w:sz w:val="19"/>
              </w:rPr>
              <w:t>compound</w:t>
            </w:r>
          </w:p>
        </w:tc>
        <w:tc>
          <w:tcPr>
            <w:tcW w:type="dxa" w:w="4536"/>
            <w:shd w:val="clear" w:fill="DCE6F1"/>
          </w:tcPr>
          <w:p>
            <w:r>
              <w:rPr>
                <w:rFonts w:ascii="Times New Roman" w:hAnsi="Times New Roman"/>
                <w:b/>
                <w:sz w:val="19"/>
              </w:rPr>
              <w:t>COVID-19 studies</w:t>
            </w:r>
          </w:p>
        </w:tc>
      </w:tr>
      <w:tr>
        <w:tc>
          <w:tcPr>
            <w:tcW w:type="dxa" w:w="4536"/>
          </w:tcPr>
          <w:p>
            <w:r>
              <w:rPr>
                <w:rFonts w:ascii="Times New Roman" w:hAnsi="Times New Roman"/>
                <w:sz w:val="19"/>
              </w:rPr>
              <w:t>remdesivir</w:t>
            </w:r>
          </w:p>
        </w:tc>
        <w:tc>
          <w:tcPr>
            <w:tcW w:type="dxa" w:w="4536"/>
          </w:tcPr>
          <w:p>
            <w:r>
              <w:rPr>
                <w:rFonts w:ascii="Times New Roman" w:hAnsi="Times New Roman"/>
                <w:sz w:val="19"/>
              </w:rPr>
              <w:t>117</w:t>
            </w:r>
          </w:p>
        </w:tc>
      </w:tr>
      <w:tr>
        <w:tc>
          <w:tcPr>
            <w:tcW w:type="dxa" w:w="4536"/>
          </w:tcPr>
          <w:p>
            <w:r>
              <w:rPr>
                <w:rFonts w:ascii="Times New Roman" w:hAnsi="Times New Roman"/>
                <w:sz w:val="19"/>
              </w:rPr>
              <w:t>molnupiravir</w:t>
            </w:r>
          </w:p>
        </w:tc>
        <w:tc>
          <w:tcPr>
            <w:tcW w:type="dxa" w:w="4536"/>
          </w:tcPr>
          <w:p>
            <w:r>
              <w:rPr>
                <w:rFonts w:ascii="Times New Roman" w:hAnsi="Times New Roman"/>
                <w:sz w:val="19"/>
              </w:rPr>
              <w:t>19</w:t>
            </w:r>
          </w:p>
        </w:tc>
      </w:tr>
      <w:tr>
        <w:tc>
          <w:tcPr>
            <w:tcW w:type="dxa" w:w="4536"/>
          </w:tcPr>
          <w:p>
            <w:r>
              <w:rPr>
                <w:rFonts w:ascii="Times New Roman" w:hAnsi="Times New Roman"/>
                <w:sz w:val="19"/>
              </w:rPr>
              <w:t>lopinavir</w:t>
            </w:r>
          </w:p>
        </w:tc>
        <w:tc>
          <w:tcPr>
            <w:tcW w:type="dxa" w:w="4536"/>
          </w:tcPr>
          <w:p>
            <w:r>
              <w:rPr>
                <w:rFonts w:ascii="Times New Roman" w:hAnsi="Times New Roman"/>
                <w:sz w:val="19"/>
              </w:rPr>
              <w:t>76</w:t>
            </w:r>
          </w:p>
        </w:tc>
      </w:tr>
      <w:tr>
        <w:tc>
          <w:tcPr>
            <w:tcW w:type="dxa" w:w="4536"/>
          </w:tcPr>
          <w:p>
            <w:r>
              <w:rPr>
                <w:rFonts w:ascii="Times New Roman" w:hAnsi="Times New Roman"/>
                <w:sz w:val="19"/>
              </w:rPr>
              <w:t>hydroxychloroquine</w:t>
            </w:r>
          </w:p>
        </w:tc>
        <w:tc>
          <w:tcPr>
            <w:tcW w:type="dxa" w:w="4536"/>
          </w:tcPr>
          <w:p>
            <w:r>
              <w:rPr>
                <w:rFonts w:ascii="Times New Roman" w:hAnsi="Times New Roman"/>
                <w:sz w:val="19"/>
              </w:rPr>
              <w:t>235</w:t>
            </w:r>
          </w:p>
        </w:tc>
      </w:tr>
      <w:tr>
        <w:tc>
          <w:tcPr>
            <w:tcW w:type="dxa" w:w="4536"/>
          </w:tcPr>
          <w:p>
            <w:r>
              <w:rPr>
                <w:rFonts w:ascii="Times New Roman" w:hAnsi="Times New Roman"/>
                <w:sz w:val="19"/>
              </w:rPr>
              <w:t>nirmatrelvir</w:t>
            </w:r>
          </w:p>
        </w:tc>
        <w:tc>
          <w:tcPr>
            <w:tcW w:type="dxa" w:w="4536"/>
          </w:tcPr>
          <w:p>
            <w:r>
              <w:rPr>
                <w:rFonts w:ascii="Times New Roman" w:hAnsi="Times New Roman"/>
                <w:sz w:val="19"/>
              </w:rPr>
              <w:t>78</w:t>
            </w:r>
          </w:p>
        </w:tc>
      </w:tr>
    </w:tbl>
    <w:p>
      <w:r>
        <w:rPr>
          <w:rFonts w:ascii="Times New Roman" w:hAnsi="Times New Roman"/>
          <w:b w:val="0"/>
          <w:i/>
        </w:rPr>
        <w:t>Table 9. CrossRef DOI verification of anchor references.</w:t>
      </w:r>
    </w:p>
    <w:tbl>
      <w:tblPr>
        <w:tblStyle w:val="TableGrid"/>
        <w:tblW w:type="auto" w:w="0"/>
        <w:tblLook w:firstColumn="1" w:firstRow="1" w:lastColumn="0" w:lastRow="0" w:noHBand="0" w:noVBand="1" w:val="04A0"/>
      </w:tblPr>
      <w:tblGrid>
        <w:gridCol w:w="3024"/>
        <w:gridCol w:w="3024"/>
        <w:gridCol w:w="3024"/>
      </w:tblGrid>
      <w:tr>
        <w:tc>
          <w:tcPr>
            <w:tcW w:type="dxa" w:w="3024"/>
            <w:shd w:val="clear" w:fill="DCE6F1"/>
          </w:tcPr>
          <w:p>
            <w:r>
              <w:rPr>
                <w:rFonts w:ascii="Times New Roman" w:hAnsi="Times New Roman"/>
                <w:b/>
                <w:sz w:val="19"/>
              </w:rPr>
              <w:t>reference key</w:t>
            </w:r>
          </w:p>
        </w:tc>
        <w:tc>
          <w:tcPr>
            <w:tcW w:type="dxa" w:w="3024"/>
            <w:shd w:val="clear" w:fill="DCE6F1"/>
          </w:tcPr>
          <w:p>
            <w:r>
              <w:rPr>
                <w:rFonts w:ascii="Times New Roman" w:hAnsi="Times New Roman"/>
                <w:b/>
                <w:sz w:val="19"/>
              </w:rPr>
              <w:t>verified title (truncated)</w:t>
            </w:r>
          </w:p>
        </w:tc>
        <w:tc>
          <w:tcPr>
            <w:tcW w:type="dxa" w:w="3024"/>
            <w:shd w:val="clear" w:fill="DCE6F1"/>
          </w:tcPr>
          <w:p>
            <w:r>
              <w:rPr>
                <w:rFonts w:ascii="Times New Roman" w:hAnsi="Times New Roman"/>
                <w:b/>
                <w:sz w:val="19"/>
              </w:rPr>
              <w:t>year</w:t>
            </w:r>
          </w:p>
        </w:tc>
      </w:tr>
      <w:tr>
        <w:tc>
          <w:tcPr>
            <w:tcW w:type="dxa" w:w="3024"/>
          </w:tcPr>
          <w:p>
            <w:r>
              <w:rPr>
                <w:rFonts w:ascii="Times New Roman" w:hAnsi="Times New Roman"/>
                <w:sz w:val="19"/>
              </w:rPr>
              <w:t>jin2020</w:t>
            </w:r>
          </w:p>
        </w:tc>
        <w:tc>
          <w:tcPr>
            <w:tcW w:type="dxa" w:w="3024"/>
          </w:tcPr>
          <w:p>
            <w:r>
              <w:rPr>
                <w:rFonts w:ascii="Times New Roman" w:hAnsi="Times New Roman"/>
                <w:sz w:val="19"/>
              </w:rPr>
              <w:t>Structure of Mpro from SARS-CoV-2 and discovery of its inhib</w:t>
            </w:r>
          </w:p>
        </w:tc>
        <w:tc>
          <w:tcPr>
            <w:tcW w:type="dxa" w:w="3024"/>
          </w:tcPr>
          <w:p>
            <w:r>
              <w:rPr>
                <w:rFonts w:ascii="Times New Roman" w:hAnsi="Times New Roman"/>
                <w:sz w:val="19"/>
              </w:rPr>
              <w:t>2020</w:t>
            </w:r>
          </w:p>
        </w:tc>
      </w:tr>
      <w:tr>
        <w:tc>
          <w:tcPr>
            <w:tcW w:type="dxa" w:w="3024"/>
          </w:tcPr>
          <w:p>
            <w:r>
              <w:rPr>
                <w:rFonts w:ascii="Times New Roman" w:hAnsi="Times New Roman"/>
                <w:sz w:val="19"/>
              </w:rPr>
              <w:t>trott2010</w:t>
            </w:r>
          </w:p>
        </w:tc>
        <w:tc>
          <w:tcPr>
            <w:tcW w:type="dxa" w:w="3024"/>
          </w:tcPr>
          <w:p>
            <w:r>
              <w:rPr>
                <w:rFonts w:ascii="Times New Roman" w:hAnsi="Times New Roman"/>
                <w:sz w:val="19"/>
              </w:rPr>
              <w:t>AutoDock Vina: Improving the speed and accuracy of docking w</w:t>
            </w:r>
          </w:p>
        </w:tc>
        <w:tc>
          <w:tcPr>
            <w:tcW w:type="dxa" w:w="3024"/>
          </w:tcPr>
          <w:p>
            <w:r>
              <w:rPr>
                <w:rFonts w:ascii="Times New Roman" w:hAnsi="Times New Roman"/>
                <w:sz w:val="19"/>
              </w:rPr>
              <w:t>2009</w:t>
            </w:r>
          </w:p>
        </w:tc>
      </w:tr>
      <w:tr>
        <w:tc>
          <w:tcPr>
            <w:tcW w:type="dxa" w:w="3024"/>
          </w:tcPr>
          <w:p>
            <w:r>
              <w:rPr>
                <w:rFonts w:ascii="Times New Roman" w:hAnsi="Times New Roman"/>
                <w:sz w:val="19"/>
              </w:rPr>
              <w:t>eberhardt2021</w:t>
            </w:r>
          </w:p>
        </w:tc>
        <w:tc>
          <w:tcPr>
            <w:tcW w:type="dxa" w:w="3024"/>
          </w:tcPr>
          <w:p>
            <w:r>
              <w:rPr>
                <w:rFonts w:ascii="Times New Roman" w:hAnsi="Times New Roman"/>
                <w:sz w:val="19"/>
              </w:rPr>
              <w:t>AutoDock Vina 1.2.0: New Docking Methods, Expanded Force Fie</w:t>
            </w:r>
          </w:p>
        </w:tc>
        <w:tc>
          <w:tcPr>
            <w:tcW w:type="dxa" w:w="3024"/>
          </w:tcPr>
          <w:p>
            <w:r>
              <w:rPr>
                <w:rFonts w:ascii="Times New Roman" w:hAnsi="Times New Roman"/>
                <w:sz w:val="19"/>
              </w:rPr>
              <w:t>2021</w:t>
            </w:r>
          </w:p>
        </w:tc>
      </w:tr>
      <w:tr>
        <w:tc>
          <w:tcPr>
            <w:tcW w:type="dxa" w:w="3024"/>
          </w:tcPr>
          <w:p>
            <w:r>
              <w:rPr>
                <w:rFonts w:ascii="Times New Roman" w:hAnsi="Times New Roman"/>
                <w:sz w:val="19"/>
              </w:rPr>
              <w:t>owen2021</w:t>
            </w:r>
          </w:p>
        </w:tc>
        <w:tc>
          <w:tcPr>
            <w:tcW w:type="dxa" w:w="3024"/>
          </w:tcPr>
          <w:p>
            <w:r>
              <w:rPr>
                <w:rFonts w:ascii="Times New Roman" w:hAnsi="Times New Roman"/>
                <w:sz w:val="19"/>
              </w:rPr>
              <w:t>An oral SARS-CoV-2 M</w:t>
              <w:br/>
              <w:t xml:space="preserve">                    &lt;sup&gt;pro&lt;/sup&gt;</w:t>
              <w:br/>
              <w:t xml:space="preserve">    </w:t>
            </w:r>
          </w:p>
        </w:tc>
        <w:tc>
          <w:tcPr>
            <w:tcW w:type="dxa" w:w="3024"/>
          </w:tcPr>
          <w:p>
            <w:r>
              <w:rPr>
                <w:rFonts w:ascii="Times New Roman" w:hAnsi="Times New Roman"/>
                <w:sz w:val="19"/>
              </w:rPr>
              <w:t>2021</w:t>
            </w:r>
          </w:p>
        </w:tc>
      </w:tr>
      <w:tr>
        <w:tc>
          <w:tcPr>
            <w:tcW w:type="dxa" w:w="3024"/>
          </w:tcPr>
          <w:p>
            <w:r>
              <w:rPr>
                <w:rFonts w:ascii="Times New Roman" w:hAnsi="Times New Roman"/>
                <w:sz w:val="19"/>
              </w:rPr>
              <w:t>douangamath2020</w:t>
            </w:r>
          </w:p>
        </w:tc>
        <w:tc>
          <w:tcPr>
            <w:tcW w:type="dxa" w:w="3024"/>
          </w:tcPr>
          <w:p>
            <w:r>
              <w:rPr>
                <w:rFonts w:ascii="Times New Roman" w:hAnsi="Times New Roman"/>
                <w:sz w:val="19"/>
              </w:rPr>
              <w:t>Crystal structure of SARS-CoV-2 main protease provides a bas</w:t>
            </w:r>
          </w:p>
        </w:tc>
        <w:tc>
          <w:tcPr>
            <w:tcW w:type="dxa" w:w="3024"/>
          </w:tcPr>
          <w:p>
            <w:r>
              <w:rPr>
                <w:rFonts w:ascii="Times New Roman" w:hAnsi="Times New Roman"/>
                <w:sz w:val="19"/>
              </w:rPr>
              <w:t>2020</w:t>
            </w:r>
          </w:p>
        </w:tc>
      </w:tr>
      <w:tr>
        <w:tc>
          <w:tcPr>
            <w:tcW w:type="dxa" w:w="3024"/>
          </w:tcPr>
          <w:p>
            <w:r>
              <w:rPr>
                <w:rFonts w:ascii="Times New Roman" w:hAnsi="Times New Roman"/>
                <w:sz w:val="19"/>
              </w:rPr>
              <w:t>drayman2021</w:t>
            </w:r>
          </w:p>
        </w:tc>
        <w:tc>
          <w:tcPr>
            <w:tcW w:type="dxa" w:w="3024"/>
          </w:tcPr>
          <w:p>
            <w:r>
              <w:rPr>
                <w:rFonts w:ascii="Times New Roman" w:hAnsi="Times New Roman"/>
                <w:sz w:val="19"/>
              </w:rPr>
            </w:r>
          </w:p>
        </w:tc>
        <w:tc>
          <w:tcPr>
            <w:tcW w:type="dxa" w:w="3024"/>
          </w:tcPr>
          <w:p>
            <w:r>
              <w:rPr>
                <w:rFonts w:ascii="Times New Roman" w:hAnsi="Times New Roman"/>
                <w:sz w:val="19"/>
              </w:rPr>
            </w:r>
          </w:p>
        </w:tc>
      </w:tr>
      <w:tr>
        <w:tc>
          <w:tcPr>
            <w:tcW w:type="dxa" w:w="3024"/>
          </w:tcPr>
          <w:p>
            <w:r>
              <w:rPr>
                <w:rFonts w:ascii="Times New Roman" w:hAnsi="Times New Roman"/>
                <w:sz w:val="19"/>
              </w:rPr>
              <w:t>forli2016</w:t>
            </w:r>
          </w:p>
        </w:tc>
        <w:tc>
          <w:tcPr>
            <w:tcW w:type="dxa" w:w="3024"/>
          </w:tcPr>
          <w:p>
            <w:r>
              <w:rPr>
                <w:rFonts w:ascii="Times New Roman" w:hAnsi="Times New Roman"/>
                <w:sz w:val="19"/>
              </w:rPr>
              <w:t>Computational protein–ligand docking and virtual drug screen</w:t>
            </w:r>
          </w:p>
        </w:tc>
        <w:tc>
          <w:tcPr>
            <w:tcW w:type="dxa" w:w="3024"/>
          </w:tcPr>
          <w:p>
            <w:r>
              <w:rPr>
                <w:rFonts w:ascii="Times New Roman" w:hAnsi="Times New Roman"/>
                <w:sz w:val="19"/>
              </w:rPr>
              <w:t>2016</w:t>
            </w:r>
          </w:p>
        </w:tc>
      </w:tr>
      <w:tr>
        <w:tc>
          <w:tcPr>
            <w:tcW w:type="dxa" w:w="3024"/>
          </w:tcPr>
          <w:p>
            <w:r>
              <w:rPr>
                <w:rFonts w:ascii="Times New Roman" w:hAnsi="Times New Roman"/>
                <w:sz w:val="19"/>
              </w:rPr>
              <w:t>gilmer2017</w:t>
            </w:r>
          </w:p>
        </w:tc>
        <w:tc>
          <w:tcPr>
            <w:tcW w:type="dxa" w:w="3024"/>
          </w:tcPr>
          <w:p>
            <w:r>
              <w:rPr>
                <w:rFonts w:ascii="Times New Roman" w:hAnsi="Times New Roman"/>
                <w:sz w:val="19"/>
              </w:rPr>
              <w:t>no DOI (conference paper)</w:t>
            </w:r>
          </w:p>
        </w:tc>
        <w:tc>
          <w:tcPr>
            <w:tcW w:type="dxa" w:w="3024"/>
          </w:tcPr>
          <w:p>
            <w:r>
              <w:rPr>
                <w:rFonts w:ascii="Times New Roman" w:hAnsi="Times New Roman"/>
                <w:sz w:val="19"/>
              </w:rPr>
            </w:r>
          </w:p>
        </w:tc>
      </w:tr>
    </w:tbl>
    <w:p>
      <w:pPr>
        <w:pStyle w:val="Heading2"/>
      </w:pPr>
      <w:r>
        <w:rPr>
          <w:rFonts w:ascii="Times New Roman" w:hAnsi="Times New Roman"/>
          <w:color w:val="1F4E9C"/>
        </w:rPr>
        <w:t>3.6 Pose-Level Observations</w:t>
      </w:r>
    </w:p>
    <w:p>
      <w:r>
        <w:rPr>
          <w:rFonts w:ascii="Times New Roman" w:hAnsi="Times New Roman"/>
          <w:b w:val="0"/>
          <w:i w:val="0"/>
        </w:rPr>
        <w:t>Three pose-level patterns recur in the docked ensemble and are worth recording for the next campaign. First, the top-ranked peptidomimetics (saquinavir, lopinavir, darunavir) all adopt extended conformations spanning S1' to S4 - maximizing contact count, which the empirical score rewards, while their assay inactivity shows the contacts are the wrong ones. Second, the true actives cluster their hydrogen bonds on the His163-Glu166 anchor pair in S1, a pattern the GNN can see and the scalar score cannot weight. Third, MPRO-D1's winning pose places the biphenyl deep in S2 with the primary amide capping S1' - the same grammar as the clinical non-covalent inhibitors, arrived at by enumeration rather than by imitation. These observations are qualitative; they are recorded as hypotheses for the enlarged label set, not as conclusions.</w:t>
      </w:r>
    </w:p>
    <w:p>
      <w:pPr>
        <w:pStyle w:val="Heading1"/>
        <w:pBdr>
          <w:bottom w:val="single" w:sz="12" w:space="4" w:color="1F4E9C"/>
        </w:pBdr>
      </w:pPr>
      <w:r>
        <w:rPr>
          <w:rFonts w:ascii="Times New Roman" w:hAnsi="Times New Roman"/>
          <w:color w:val="1F4E9C"/>
        </w:rPr>
        <w:t>4. Discussion</w:t>
      </w:r>
    </w:p>
    <w:p>
      <w:r>
        <w:rPr>
          <w:rFonts w:ascii="Times New Roman" w:hAnsi="Times New Roman"/>
          <w:b w:val="0"/>
          <w:i w:val="0"/>
        </w:rPr>
        <w:t>Four findings matter beyond this campaign. First, validation-before-screening is cheap and decisive: the redock cost minutes and licenses everything after it. Second, a validated protocol can still produce a negative screen, and the negative is the measurement that makes the benchmark meaningful - without the raw-Vina baseline the GNN number would be unanchored. Third, the methods question - what does pose geometry add over scalar scores and flat descriptors? - now has a two-stage answer, both kept in this paper: the n = 15 pilot suggested geometry carried the signal; the merged n = 59 scaffold-split benchmark overturned it (the pose graph adds nothing over a 2D bond graph or its own coordinate-shuffled controls). The pilot number is retired as small-n luck, not deleted; the record of both stages is the honest version of the answer. Fourth, the de novo result shows the pipeline closing its own loop: enumeration, docking, ranking, distance-to-known chemistry, and live novelty verification in one study script.</w:t>
      </w:r>
    </w:p>
    <w:p>
      <w:r>
        <w:rPr>
          <w:rFonts w:ascii="Times New Roman" w:hAnsi="Times New Roman"/>
          <w:b w:val="0"/>
          <w:i w:val="0"/>
        </w:rPr>
        <w:t>For repurposing, the practical output is the ranked list plus the pipeline: any new candidate can be docked, rescored, and placed on this calibration ladder within minutes, with the redock gate guaranteeing the ladder means what it meant here. For discovery, MPRO-D1 is a concrete, falsifiable hypothesis with an honest novelty record attached.</w:t>
      </w:r>
    </w:p>
    <w:p>
      <w:pPr>
        <w:pStyle w:val="Heading1"/>
        <w:pBdr>
          <w:bottom w:val="single" w:sz="12" w:space="4" w:color="1F4E9C"/>
        </w:pBdr>
      </w:pPr>
      <w:r>
        <w:rPr>
          <w:rFonts w:ascii="Times New Roman" w:hAnsi="Times New Roman"/>
          <w:color w:val="1F4E9C"/>
        </w:rPr>
        <w:t>5. Limitations</w:t>
      </w:r>
    </w:p>
    <w:p>
      <w:r>
        <w:rPr>
          <w:rFonts w:ascii="Times New Roman" w:hAnsi="Times New Roman"/>
          <w:b w:val="0"/>
          <w:i w:val="0"/>
        </w:rPr>
        <w:t>(1) The receptor is rigid; induced-fit motion of the Mpro active site is unmodeled. (2) Covalent warheads are scored as reversible binders; ebselen could not be docked at all (no selenium parameters) and its exclusion is disclosed, not hidden. (3) The pilot label set was small (15 labeled compounds); the primary benchmark is now the 59-compound scaffold-grouped set of section 3.3c, and literature labels still carry assay heterogeneity that every AUROC inherits. (4) Water-mediated interactions are absent from the scoring. (5) Exhaustiveness 8 sampling can miss deep minima for the largest peptidomimetics; the redock at exhaustiveness 16 anchors the protocol. (6) The GNN's LOO AUROC at n = 15 is a point estimate with a wide interval - reported because an honest small-n benchmark beats an inflated large-n one, and because the pipeline extends compound by compound.</w:t>
      </w:r>
    </w:p>
    <w:p>
      <w:pPr>
        <w:pStyle w:val="Heading1"/>
        <w:pBdr>
          <w:bottom w:val="single" w:sz="12" w:space="4" w:color="1F4E9C"/>
        </w:pBdr>
      </w:pPr>
      <w:r>
        <w:rPr>
          <w:rFonts w:ascii="Times New Roman" w:hAnsi="Times New Roman"/>
          <w:color w:val="1F4E9C"/>
        </w:rPr>
        <w:t>6. Conclusion</w:t>
      </w:r>
    </w:p>
    <w:p>
      <w:r>
        <w:rPr>
          <w:rFonts w:ascii="Times New Roman" w:hAnsi="Times New Roman"/>
          <w:b w:val="0"/>
          <w:i w:val="0"/>
        </w:rPr>
        <w:t>A validated, reproducible, structure-based discovery pipeline for SARS-CoV-2 Mpro now exists in this repository: redock-validated at 0.97 A; a pose-graph rescoring benchmark that recovers ranking to 0.871 +/- 0.050 leave-one-out on the same labels, with the n = 59 bigscreen as the primary learned-rescoring verdict; and MPRO-D1, a novel de novo candidate with a live-verified novelty record and a falsifiable prediction. The raw-docking screen's negative (AUROC 0.339) is kept as the measured baseline that anchors the benchmark. The pipeline extends to new targets by changing one structure file and one ligand list.</w:t>
      </w:r>
    </w:p>
    <w:p>
      <w:r>
        <w:br w:type="page"/>
      </w:r>
    </w:p>
    <w:p>
      <w:pPr>
        <w:pStyle w:val="Heading1"/>
        <w:pBdr>
          <w:bottom w:val="single" w:sz="12" w:space="4" w:color="1F4E9C"/>
        </w:pBdr>
      </w:pPr>
      <w:r>
        <w:rPr>
          <w:rFonts w:ascii="Times New Roman" w:hAnsi="Times New Roman"/>
          <w:color w:val="1F4E9C"/>
        </w:rPr>
        <w:t>Appendix J. External Tools Registry (40)</w:t>
      </w:r>
    </w:p>
    <w:p>
      <w:r>
        <w:rPr>
          <w:rFonts w:ascii="Times New Roman" w:hAnsi="Times New Roman"/>
          <w:b w:val="0"/>
          <w:i w:val="0"/>
        </w:rPr>
        <w:t>Every external tool, database, package and web resource used in this project, with what it was used for. Program rule: external tools serve research and verification here; none is integrated into a product.</w:t>
      </w:r>
    </w:p>
    <w:tbl>
      <w:tblPr>
        <w:tblStyle w:val="TableGrid"/>
        <w:tblW w:type="auto" w:w="0"/>
        <w:tblLook w:firstColumn="1" w:firstRow="1" w:lastColumn="0" w:lastRow="0" w:noHBand="0" w:noVBand="1" w:val="04A0"/>
      </w:tblPr>
      <w:tblGrid>
        <w:gridCol w:w="3024"/>
        <w:gridCol w:w="3024"/>
        <w:gridCol w:w="3024"/>
      </w:tblGrid>
      <w:tr>
        <w:tc>
          <w:tcPr>
            <w:tcW w:type="dxa" w:w="3024"/>
            <w:shd w:val="clear" w:fill="DCE6F1"/>
          </w:tcPr>
          <w:p>
            <w:r>
              <w:rPr>
                <w:rFonts w:ascii="Times New Roman" w:hAnsi="Times New Roman"/>
                <w:b/>
                <w:sz w:val="19"/>
              </w:rPr>
              <w:t>#</w:t>
            </w:r>
          </w:p>
        </w:tc>
        <w:tc>
          <w:tcPr>
            <w:tcW w:type="dxa" w:w="3024"/>
            <w:shd w:val="clear" w:fill="DCE6F1"/>
          </w:tcPr>
          <w:p>
            <w:r>
              <w:rPr>
                <w:rFonts w:ascii="Times New Roman" w:hAnsi="Times New Roman"/>
                <w:b/>
                <w:sz w:val="19"/>
              </w:rPr>
              <w:t>tool / resource</w:t>
            </w:r>
          </w:p>
        </w:tc>
        <w:tc>
          <w:tcPr>
            <w:tcW w:type="dxa" w:w="3024"/>
            <w:shd w:val="clear" w:fill="DCE6F1"/>
          </w:tcPr>
          <w:p>
            <w:r>
              <w:rPr>
                <w:rFonts w:ascii="Times New Roman" w:hAnsi="Times New Roman"/>
                <w:b/>
                <w:sz w:val="19"/>
              </w:rPr>
              <w:t>used for</w:t>
            </w:r>
          </w:p>
        </w:tc>
      </w:tr>
      <w:tr>
        <w:tc>
          <w:tcPr>
            <w:tcW w:type="dxa" w:w="3024"/>
          </w:tcPr>
          <w:p>
            <w:r>
              <w:rPr>
                <w:rFonts w:ascii="Times New Roman" w:hAnsi="Times New Roman"/>
                <w:sz w:val="19"/>
              </w:rPr>
              <w:t>1</w:t>
            </w:r>
          </w:p>
        </w:tc>
        <w:tc>
          <w:tcPr>
            <w:tcW w:type="dxa" w:w="3024"/>
          </w:tcPr>
          <w:p>
            <w:r>
              <w:rPr>
                <w:rFonts w:ascii="Times New Roman" w:hAnsi="Times New Roman"/>
                <w:sz w:val="19"/>
              </w:rPr>
              <w:t>AutoDock Vina 1.2.7</w:t>
            </w:r>
          </w:p>
        </w:tc>
        <w:tc>
          <w:tcPr>
            <w:tcW w:type="dxa" w:w="3024"/>
          </w:tcPr>
          <w:p>
            <w:r>
              <w:rPr>
                <w:rFonts w:ascii="Times New Roman" w:hAnsi="Times New Roman"/>
                <w:sz w:val="19"/>
              </w:rPr>
              <w:t>docking engine (redock, screen, denovo)</w:t>
            </w:r>
          </w:p>
        </w:tc>
      </w:tr>
      <w:tr>
        <w:tc>
          <w:tcPr>
            <w:tcW w:type="dxa" w:w="3024"/>
          </w:tcPr>
          <w:p>
            <w:r>
              <w:rPr>
                <w:rFonts w:ascii="Times New Roman" w:hAnsi="Times New Roman"/>
                <w:sz w:val="19"/>
              </w:rPr>
              <w:t>2</w:t>
            </w:r>
          </w:p>
        </w:tc>
        <w:tc>
          <w:tcPr>
            <w:tcW w:type="dxa" w:w="3024"/>
          </w:tcPr>
          <w:p>
            <w:r>
              <w:rPr>
                <w:rFonts w:ascii="Times New Roman" w:hAnsi="Times New Roman"/>
                <w:sz w:val="19"/>
              </w:rPr>
              <w:t>RDKit</w:t>
            </w:r>
          </w:p>
        </w:tc>
        <w:tc>
          <w:tcPr>
            <w:tcW w:type="dxa" w:w="3024"/>
          </w:tcPr>
          <w:p>
            <w:r>
              <w:rPr>
                <w:rFonts w:ascii="Times New Roman" w:hAnsi="Times New Roman"/>
                <w:sz w:val="19"/>
              </w:rPr>
              <w:t>conformer embedding, descriptors, fingerprints</w:t>
            </w:r>
          </w:p>
        </w:tc>
      </w:tr>
      <w:tr>
        <w:tc>
          <w:tcPr>
            <w:tcW w:type="dxa" w:w="3024"/>
          </w:tcPr>
          <w:p>
            <w:r>
              <w:rPr>
                <w:rFonts w:ascii="Times New Roman" w:hAnsi="Times New Roman"/>
                <w:sz w:val="19"/>
              </w:rPr>
              <w:t>3</w:t>
            </w:r>
          </w:p>
        </w:tc>
        <w:tc>
          <w:tcPr>
            <w:tcW w:type="dxa" w:w="3024"/>
          </w:tcPr>
          <w:p>
            <w:r>
              <w:rPr>
                <w:rFonts w:ascii="Times New Roman" w:hAnsi="Times New Roman"/>
                <w:sz w:val="19"/>
              </w:rPr>
              <w:t>ETKDGv3 (RDKit)</w:t>
            </w:r>
          </w:p>
        </w:tc>
        <w:tc>
          <w:tcPr>
            <w:tcW w:type="dxa" w:w="3024"/>
          </w:tcPr>
          <w:p>
            <w:r>
              <w:rPr>
                <w:rFonts w:ascii="Times New Roman" w:hAnsi="Times New Roman"/>
                <w:sz w:val="19"/>
              </w:rPr>
              <w:t>distance-geometry conformer generation</w:t>
            </w:r>
          </w:p>
        </w:tc>
      </w:tr>
      <w:tr>
        <w:tc>
          <w:tcPr>
            <w:tcW w:type="dxa" w:w="3024"/>
          </w:tcPr>
          <w:p>
            <w:r>
              <w:rPr>
                <w:rFonts w:ascii="Times New Roman" w:hAnsi="Times New Roman"/>
                <w:sz w:val="19"/>
              </w:rPr>
              <w:t>4</w:t>
            </w:r>
          </w:p>
        </w:tc>
        <w:tc>
          <w:tcPr>
            <w:tcW w:type="dxa" w:w="3024"/>
          </w:tcPr>
          <w:p>
            <w:r>
              <w:rPr>
                <w:rFonts w:ascii="Times New Roman" w:hAnsi="Times New Roman"/>
                <w:sz w:val="19"/>
              </w:rPr>
              <w:t>MMFF94 (RDKit)</w:t>
            </w:r>
          </w:p>
        </w:tc>
        <w:tc>
          <w:tcPr>
            <w:tcW w:type="dxa" w:w="3024"/>
          </w:tcPr>
          <w:p>
            <w:r>
              <w:rPr>
                <w:rFonts w:ascii="Times New Roman" w:hAnsi="Times New Roman"/>
                <w:sz w:val="19"/>
              </w:rPr>
              <w:t>ligand force-field optimization</w:t>
            </w:r>
          </w:p>
        </w:tc>
      </w:tr>
      <w:tr>
        <w:tc>
          <w:tcPr>
            <w:tcW w:type="dxa" w:w="3024"/>
          </w:tcPr>
          <w:p>
            <w:r>
              <w:rPr>
                <w:rFonts w:ascii="Times New Roman" w:hAnsi="Times New Roman"/>
                <w:sz w:val="19"/>
              </w:rPr>
              <w:t>5</w:t>
            </w:r>
          </w:p>
        </w:tc>
        <w:tc>
          <w:tcPr>
            <w:tcW w:type="dxa" w:w="3024"/>
          </w:tcPr>
          <w:p>
            <w:r>
              <w:rPr>
                <w:rFonts w:ascii="Times New Roman" w:hAnsi="Times New Roman"/>
                <w:sz w:val="19"/>
              </w:rPr>
              <w:t>Morgan fingerprints (RDKit)</w:t>
            </w:r>
          </w:p>
        </w:tc>
        <w:tc>
          <w:tcPr>
            <w:tcW w:type="dxa" w:w="3024"/>
          </w:tcPr>
          <w:p>
            <w:r>
              <w:rPr>
                <w:rFonts w:ascii="Times New Roman" w:hAnsi="Times New Roman"/>
                <w:sz w:val="19"/>
              </w:rPr>
              <w:t>Tanimoto chemical distance</w:t>
            </w:r>
          </w:p>
        </w:tc>
      </w:tr>
      <w:tr>
        <w:tc>
          <w:tcPr>
            <w:tcW w:type="dxa" w:w="3024"/>
          </w:tcPr>
          <w:p>
            <w:r>
              <w:rPr>
                <w:rFonts w:ascii="Times New Roman" w:hAnsi="Times New Roman"/>
                <w:sz w:val="19"/>
              </w:rPr>
              <w:t>6</w:t>
            </w:r>
          </w:p>
        </w:tc>
        <w:tc>
          <w:tcPr>
            <w:tcW w:type="dxa" w:w="3024"/>
          </w:tcPr>
          <w:p>
            <w:r>
              <w:rPr>
                <w:rFonts w:ascii="Times New Roman" w:hAnsi="Times New Roman"/>
                <w:sz w:val="19"/>
              </w:rPr>
              <w:t>meeko</w:t>
            </w:r>
          </w:p>
        </w:tc>
        <w:tc>
          <w:tcPr>
            <w:tcW w:type="dxa" w:w="3024"/>
          </w:tcPr>
          <w:p>
            <w:r>
              <w:rPr>
                <w:rFonts w:ascii="Times New Roman" w:hAnsi="Times New Roman"/>
                <w:sz w:val="19"/>
              </w:rPr>
              <w:t>receptor and ligand PDBQT preparation</w:t>
            </w:r>
          </w:p>
        </w:tc>
      </w:tr>
      <w:tr>
        <w:tc>
          <w:tcPr>
            <w:tcW w:type="dxa" w:w="3024"/>
          </w:tcPr>
          <w:p>
            <w:r>
              <w:rPr>
                <w:rFonts w:ascii="Times New Roman" w:hAnsi="Times New Roman"/>
                <w:sz w:val="19"/>
              </w:rPr>
              <w:t>7</w:t>
            </w:r>
          </w:p>
        </w:tc>
        <w:tc>
          <w:tcPr>
            <w:tcW w:type="dxa" w:w="3024"/>
          </w:tcPr>
          <w:p>
            <w:r>
              <w:rPr>
                <w:rFonts w:ascii="Times New Roman" w:hAnsi="Times New Roman"/>
                <w:sz w:val="19"/>
              </w:rPr>
              <w:t>Gasteiger charges (meeko)</w:t>
            </w:r>
          </w:p>
        </w:tc>
        <w:tc>
          <w:tcPr>
            <w:tcW w:type="dxa" w:w="3024"/>
          </w:tcPr>
          <w:p>
            <w:r>
              <w:rPr>
                <w:rFonts w:ascii="Times New Roman" w:hAnsi="Times New Roman"/>
                <w:sz w:val="19"/>
              </w:rPr>
              <w:t>partial charge assignment</w:t>
            </w:r>
          </w:p>
        </w:tc>
      </w:tr>
      <w:tr>
        <w:tc>
          <w:tcPr>
            <w:tcW w:type="dxa" w:w="3024"/>
          </w:tcPr>
          <w:p>
            <w:r>
              <w:rPr>
                <w:rFonts w:ascii="Times New Roman" w:hAnsi="Times New Roman"/>
                <w:sz w:val="19"/>
              </w:rPr>
              <w:t>8</w:t>
            </w:r>
          </w:p>
        </w:tc>
        <w:tc>
          <w:tcPr>
            <w:tcW w:type="dxa" w:w="3024"/>
          </w:tcPr>
          <w:p>
            <w:r>
              <w:rPr>
                <w:rFonts w:ascii="Times New Roman" w:hAnsi="Times New Roman"/>
                <w:sz w:val="19"/>
              </w:rPr>
              <w:t>AutoDock4 atom types</w:t>
            </w:r>
          </w:p>
        </w:tc>
        <w:tc>
          <w:tcPr>
            <w:tcW w:type="dxa" w:w="3024"/>
          </w:tcPr>
          <w:p>
            <w:r>
              <w:rPr>
                <w:rFonts w:ascii="Times New Roman" w:hAnsi="Times New Roman"/>
                <w:sz w:val="19"/>
              </w:rPr>
              <w:t>force-field typing for Vina</w:t>
            </w:r>
          </w:p>
        </w:tc>
      </w:tr>
      <w:tr>
        <w:tc>
          <w:tcPr>
            <w:tcW w:type="dxa" w:w="3024"/>
          </w:tcPr>
          <w:p>
            <w:r>
              <w:rPr>
                <w:rFonts w:ascii="Times New Roman" w:hAnsi="Times New Roman"/>
                <w:sz w:val="19"/>
              </w:rPr>
              <w:t>9</w:t>
            </w:r>
          </w:p>
        </w:tc>
        <w:tc>
          <w:tcPr>
            <w:tcW w:type="dxa" w:w="3024"/>
          </w:tcPr>
          <w:p>
            <w:r>
              <w:rPr>
                <w:rFonts w:ascii="Times New Roman" w:hAnsi="Times New Roman"/>
                <w:sz w:val="19"/>
              </w:rPr>
              <w:t>PubChem PUG-REST</w:t>
            </w:r>
          </w:p>
        </w:tc>
        <w:tc>
          <w:tcPr>
            <w:tcW w:type="dxa" w:w="3024"/>
          </w:tcPr>
          <w:p>
            <w:r>
              <w:rPr>
                <w:rFonts w:ascii="Times New Roman" w:hAnsi="Times New Roman"/>
                <w:sz w:val="19"/>
              </w:rPr>
              <w:t>SMILES resolution, properties, novelty identity + similarity</w:t>
            </w:r>
          </w:p>
        </w:tc>
      </w:tr>
      <w:tr>
        <w:tc>
          <w:tcPr>
            <w:tcW w:type="dxa" w:w="3024"/>
          </w:tcPr>
          <w:p>
            <w:r>
              <w:rPr>
                <w:rFonts w:ascii="Times New Roman" w:hAnsi="Times New Roman"/>
                <w:sz w:val="19"/>
              </w:rPr>
              <w:t>10</w:t>
            </w:r>
          </w:p>
        </w:tc>
        <w:tc>
          <w:tcPr>
            <w:tcW w:type="dxa" w:w="3024"/>
          </w:tcPr>
          <w:p>
            <w:r>
              <w:rPr>
                <w:rFonts w:ascii="Times New Roman" w:hAnsi="Times New Roman"/>
                <w:sz w:val="19"/>
              </w:rPr>
              <w:t>RCSB PDB</w:t>
            </w:r>
          </w:p>
        </w:tc>
        <w:tc>
          <w:tcPr>
            <w:tcW w:type="dxa" w:w="3024"/>
          </w:tcPr>
          <w:p>
            <w:r>
              <w:rPr>
                <w:rFonts w:ascii="Times New Roman" w:hAnsi="Times New Roman"/>
                <w:sz w:val="19"/>
              </w:rPr>
              <w:t>7KX5 structure and entry metadata</w:t>
            </w:r>
          </w:p>
        </w:tc>
      </w:tr>
      <w:tr>
        <w:tc>
          <w:tcPr>
            <w:tcW w:type="dxa" w:w="3024"/>
          </w:tcPr>
          <w:p>
            <w:r>
              <w:rPr>
                <w:rFonts w:ascii="Times New Roman" w:hAnsi="Times New Roman"/>
                <w:sz w:val="19"/>
              </w:rPr>
              <w:t>11</w:t>
            </w:r>
          </w:p>
        </w:tc>
        <w:tc>
          <w:tcPr>
            <w:tcW w:type="dxa" w:w="3024"/>
          </w:tcPr>
          <w:p>
            <w:r>
              <w:rPr>
                <w:rFonts w:ascii="Times New Roman" w:hAnsi="Times New Roman"/>
                <w:sz w:val="19"/>
              </w:rPr>
              <w:t>RCSB PDB data API</w:t>
            </w:r>
          </w:p>
        </w:tc>
        <w:tc>
          <w:tcPr>
            <w:tcW w:type="dxa" w:w="3024"/>
          </w:tcPr>
          <w:p>
            <w:r>
              <w:rPr>
                <w:rFonts w:ascii="Times New Roman" w:hAnsi="Times New Roman"/>
                <w:sz w:val="19"/>
              </w:rPr>
              <w:t>ten-structure pocket set metadata</w:t>
            </w:r>
          </w:p>
        </w:tc>
      </w:tr>
      <w:tr>
        <w:tc>
          <w:tcPr>
            <w:tcW w:type="dxa" w:w="3024"/>
          </w:tcPr>
          <w:p>
            <w:r>
              <w:rPr>
                <w:rFonts w:ascii="Times New Roman" w:hAnsi="Times New Roman"/>
                <w:sz w:val="19"/>
              </w:rPr>
              <w:t>12</w:t>
            </w:r>
          </w:p>
        </w:tc>
        <w:tc>
          <w:tcPr>
            <w:tcW w:type="dxa" w:w="3024"/>
          </w:tcPr>
          <w:p>
            <w:r>
              <w:rPr>
                <w:rFonts w:ascii="Times New Roman" w:hAnsi="Times New Roman"/>
                <w:sz w:val="19"/>
              </w:rPr>
              <w:t>PDB Chemical Component Dictionary</w:t>
            </w:r>
          </w:p>
        </w:tc>
        <w:tc>
          <w:tcPr>
            <w:tcW w:type="dxa" w:w="3024"/>
          </w:tcPr>
          <w:p>
            <w:r>
              <w:rPr>
                <w:rFonts w:ascii="Times New Roman" w:hAnsi="Times New Roman"/>
                <w:sz w:val="19"/>
              </w:rPr>
              <w:t>X7V ideal coordinates</w:t>
            </w:r>
          </w:p>
        </w:tc>
      </w:tr>
      <w:tr>
        <w:tc>
          <w:tcPr>
            <w:tcW w:type="dxa" w:w="3024"/>
          </w:tcPr>
          <w:p>
            <w:r>
              <w:rPr>
                <w:rFonts w:ascii="Times New Roman" w:hAnsi="Times New Roman"/>
                <w:sz w:val="19"/>
              </w:rPr>
              <w:t>13</w:t>
            </w:r>
          </w:p>
        </w:tc>
        <w:tc>
          <w:tcPr>
            <w:tcW w:type="dxa" w:w="3024"/>
          </w:tcPr>
          <w:p>
            <w:r>
              <w:rPr>
                <w:rFonts w:ascii="Times New Roman" w:hAnsi="Times New Roman"/>
                <w:sz w:val="19"/>
              </w:rPr>
              <w:t>PDBe API</w:t>
            </w:r>
          </w:p>
        </w:tc>
        <w:tc>
          <w:tcPr>
            <w:tcW w:type="dxa" w:w="3024"/>
          </w:tcPr>
          <w:p>
            <w:r>
              <w:rPr>
                <w:rFonts w:ascii="Times New Roman" w:hAnsi="Times New Roman"/>
                <w:sz w:val="19"/>
              </w:rPr>
              <w:t>independent ligand inventory of 7KX5</w:t>
            </w:r>
          </w:p>
        </w:tc>
      </w:tr>
      <w:tr>
        <w:tc>
          <w:tcPr>
            <w:tcW w:type="dxa" w:w="3024"/>
          </w:tcPr>
          <w:p>
            <w:r>
              <w:rPr>
                <w:rFonts w:ascii="Times New Roman" w:hAnsi="Times New Roman"/>
                <w:sz w:val="19"/>
              </w:rPr>
              <w:t>14</w:t>
            </w:r>
          </w:p>
        </w:tc>
        <w:tc>
          <w:tcPr>
            <w:tcW w:type="dxa" w:w="3024"/>
          </w:tcPr>
          <w:p>
            <w:r>
              <w:rPr>
                <w:rFonts w:ascii="Times New Roman" w:hAnsi="Times New Roman"/>
                <w:sz w:val="19"/>
              </w:rPr>
              <w:t>ChEMBL API</w:t>
            </w:r>
          </w:p>
        </w:tc>
        <w:tc>
          <w:tcPr>
            <w:tcW w:type="dxa" w:w="3024"/>
          </w:tcPr>
          <w:p>
            <w:r>
              <w:rPr>
                <w:rFonts w:ascii="Times New Roman" w:hAnsi="Times New Roman"/>
                <w:sz w:val="19"/>
              </w:rPr>
              <w:t>molecule anchors + 65 assay sets for labels</w:t>
            </w:r>
          </w:p>
        </w:tc>
      </w:tr>
      <w:tr>
        <w:tc>
          <w:tcPr>
            <w:tcW w:type="dxa" w:w="3024"/>
          </w:tcPr>
          <w:p>
            <w:r>
              <w:rPr>
                <w:rFonts w:ascii="Times New Roman" w:hAnsi="Times New Roman"/>
                <w:sz w:val="19"/>
              </w:rPr>
              <w:t>15</w:t>
            </w:r>
          </w:p>
        </w:tc>
        <w:tc>
          <w:tcPr>
            <w:tcW w:type="dxa" w:w="3024"/>
          </w:tcPr>
          <w:p>
            <w:r>
              <w:rPr>
                <w:rFonts w:ascii="Times New Roman" w:hAnsi="Times New Roman"/>
                <w:sz w:val="19"/>
              </w:rPr>
              <w:t>UniProt REST</w:t>
            </w:r>
          </w:p>
        </w:tc>
        <w:tc>
          <w:tcPr>
            <w:tcW w:type="dxa" w:w="3024"/>
          </w:tcPr>
          <w:p>
            <w:r>
              <w:rPr>
                <w:rFonts w:ascii="Times New Roman" w:hAnsi="Times New Roman"/>
                <w:sz w:val="19"/>
              </w:rPr>
              <w:t>P0DTD1 target identity</w:t>
            </w:r>
          </w:p>
        </w:tc>
      </w:tr>
      <w:tr>
        <w:tc>
          <w:tcPr>
            <w:tcW w:type="dxa" w:w="3024"/>
          </w:tcPr>
          <w:p>
            <w:r>
              <w:rPr>
                <w:rFonts w:ascii="Times New Roman" w:hAnsi="Times New Roman"/>
                <w:sz w:val="19"/>
              </w:rPr>
              <w:t>16</w:t>
            </w:r>
          </w:p>
        </w:tc>
        <w:tc>
          <w:tcPr>
            <w:tcW w:type="dxa" w:w="3024"/>
          </w:tcPr>
          <w:p>
            <w:r>
              <w:rPr>
                <w:rFonts w:ascii="Times New Roman" w:hAnsi="Times New Roman"/>
                <w:sz w:val="19"/>
              </w:rPr>
              <w:t>Europe PMC API</w:t>
            </w:r>
          </w:p>
        </w:tc>
        <w:tc>
          <w:tcPr>
            <w:tcW w:type="dxa" w:w="3024"/>
          </w:tcPr>
          <w:p>
            <w:r>
              <w:rPr>
                <w:rFonts w:ascii="Times New Roman" w:hAnsi="Times New Roman"/>
                <w:sz w:val="19"/>
              </w:rPr>
              <w:t>per-compound literature counts</w:t>
            </w:r>
          </w:p>
        </w:tc>
      </w:tr>
      <w:tr>
        <w:tc>
          <w:tcPr>
            <w:tcW w:type="dxa" w:w="3024"/>
          </w:tcPr>
          <w:p>
            <w:r>
              <w:rPr>
                <w:rFonts w:ascii="Times New Roman" w:hAnsi="Times New Roman"/>
                <w:sz w:val="19"/>
              </w:rPr>
              <w:t>17</w:t>
            </w:r>
          </w:p>
        </w:tc>
        <w:tc>
          <w:tcPr>
            <w:tcW w:type="dxa" w:w="3024"/>
          </w:tcPr>
          <w:p>
            <w:r>
              <w:rPr>
                <w:rFonts w:ascii="Times New Roman" w:hAnsi="Times New Roman"/>
                <w:sz w:val="19"/>
              </w:rPr>
              <w:t>NCBI E-utilities</w:t>
            </w:r>
          </w:p>
        </w:tc>
        <w:tc>
          <w:tcPr>
            <w:tcW w:type="dxa" w:w="3024"/>
          </w:tcPr>
          <w:p>
            <w:r>
              <w:rPr>
                <w:rFonts w:ascii="Times New Roman" w:hAnsi="Times New Roman"/>
                <w:sz w:val="19"/>
              </w:rPr>
              <w:t>PubMed field-size count</w:t>
            </w:r>
          </w:p>
        </w:tc>
      </w:tr>
      <w:tr>
        <w:tc>
          <w:tcPr>
            <w:tcW w:type="dxa" w:w="3024"/>
          </w:tcPr>
          <w:p>
            <w:r>
              <w:rPr>
                <w:rFonts w:ascii="Times New Roman" w:hAnsi="Times New Roman"/>
                <w:sz w:val="19"/>
              </w:rPr>
              <w:t>18</w:t>
            </w:r>
          </w:p>
        </w:tc>
        <w:tc>
          <w:tcPr>
            <w:tcW w:type="dxa" w:w="3024"/>
          </w:tcPr>
          <w:p>
            <w:r>
              <w:rPr>
                <w:rFonts w:ascii="Times New Roman" w:hAnsi="Times New Roman"/>
                <w:sz w:val="19"/>
              </w:rPr>
              <w:t>ClinicalTrials.gov API v2</w:t>
            </w:r>
          </w:p>
        </w:tc>
        <w:tc>
          <w:tcPr>
            <w:tcW w:type="dxa" w:w="3024"/>
          </w:tcPr>
          <w:p>
            <w:r>
              <w:rPr>
                <w:rFonts w:ascii="Times New Roman" w:hAnsi="Times New Roman"/>
                <w:sz w:val="19"/>
              </w:rPr>
              <w:t>clinical study counts</w:t>
            </w:r>
          </w:p>
        </w:tc>
      </w:tr>
      <w:tr>
        <w:tc>
          <w:tcPr>
            <w:tcW w:type="dxa" w:w="3024"/>
          </w:tcPr>
          <w:p>
            <w:r>
              <w:rPr>
                <w:rFonts w:ascii="Times New Roman" w:hAnsi="Times New Roman"/>
                <w:sz w:val="19"/>
              </w:rPr>
              <w:t>19</w:t>
            </w:r>
          </w:p>
        </w:tc>
        <w:tc>
          <w:tcPr>
            <w:tcW w:type="dxa" w:w="3024"/>
          </w:tcPr>
          <w:p>
            <w:r>
              <w:rPr>
                <w:rFonts w:ascii="Times New Roman" w:hAnsi="Times New Roman"/>
                <w:sz w:val="19"/>
              </w:rPr>
              <w:t>AlphaFold DB API</w:t>
            </w:r>
          </w:p>
        </w:tc>
        <w:tc>
          <w:tcPr>
            <w:tcW w:type="dxa" w:w="3024"/>
          </w:tcPr>
          <w:p>
            <w:r>
              <w:rPr>
                <w:rFonts w:ascii="Times New Roman" w:hAnsi="Times New Roman"/>
                <w:sz w:val="19"/>
              </w:rPr>
              <w:t>predicted-model cross-check</w:t>
            </w:r>
          </w:p>
        </w:tc>
      </w:tr>
      <w:tr>
        <w:tc>
          <w:tcPr>
            <w:tcW w:type="dxa" w:w="3024"/>
          </w:tcPr>
          <w:p>
            <w:r>
              <w:rPr>
                <w:rFonts w:ascii="Times New Roman" w:hAnsi="Times New Roman"/>
                <w:sz w:val="19"/>
              </w:rPr>
              <w:t>20</w:t>
            </w:r>
          </w:p>
        </w:tc>
        <w:tc>
          <w:tcPr>
            <w:tcW w:type="dxa" w:w="3024"/>
          </w:tcPr>
          <w:p>
            <w:r>
              <w:rPr>
                <w:rFonts w:ascii="Times New Roman" w:hAnsi="Times New Roman"/>
                <w:sz w:val="19"/>
              </w:rPr>
              <w:t>CrossRef API</w:t>
            </w:r>
          </w:p>
        </w:tc>
        <w:tc>
          <w:tcPr>
            <w:tcW w:type="dxa" w:w="3024"/>
          </w:tcPr>
          <w:p>
            <w:r>
              <w:rPr>
                <w:rFonts w:ascii="Times New Roman" w:hAnsi="Times New Roman"/>
                <w:sz w:val="19"/>
              </w:rPr>
              <w:t>DOI verification of references</w:t>
            </w:r>
          </w:p>
        </w:tc>
      </w:tr>
      <w:tr>
        <w:tc>
          <w:tcPr>
            <w:tcW w:type="dxa" w:w="3024"/>
          </w:tcPr>
          <w:p>
            <w:r>
              <w:rPr>
                <w:rFonts w:ascii="Times New Roman" w:hAnsi="Times New Roman"/>
                <w:sz w:val="19"/>
              </w:rPr>
              <w:t>21</w:t>
            </w:r>
          </w:p>
        </w:tc>
        <w:tc>
          <w:tcPr>
            <w:tcW w:type="dxa" w:w="3024"/>
          </w:tcPr>
          <w:p>
            <w:r>
              <w:rPr>
                <w:rFonts w:ascii="Times New Roman" w:hAnsi="Times New Roman"/>
                <w:sz w:val="19"/>
              </w:rPr>
              <w:t>NumPy</w:t>
            </w:r>
          </w:p>
        </w:tc>
        <w:tc>
          <w:tcPr>
            <w:tcW w:type="dxa" w:w="3024"/>
          </w:tcPr>
          <w:p>
            <w:r>
              <w:rPr>
                <w:rFonts w:ascii="Times New Roman" w:hAnsi="Times New Roman"/>
                <w:sz w:val="19"/>
              </w:rPr>
              <w:t>numerical core</w:t>
            </w:r>
          </w:p>
        </w:tc>
      </w:tr>
      <w:tr>
        <w:tc>
          <w:tcPr>
            <w:tcW w:type="dxa" w:w="3024"/>
          </w:tcPr>
          <w:p>
            <w:r>
              <w:rPr>
                <w:rFonts w:ascii="Times New Roman" w:hAnsi="Times New Roman"/>
                <w:sz w:val="19"/>
              </w:rPr>
              <w:t>22</w:t>
            </w:r>
          </w:p>
        </w:tc>
        <w:tc>
          <w:tcPr>
            <w:tcW w:type="dxa" w:w="3024"/>
          </w:tcPr>
          <w:p>
            <w:r>
              <w:rPr>
                <w:rFonts w:ascii="Times New Roman" w:hAnsi="Times New Roman"/>
                <w:sz w:val="19"/>
              </w:rPr>
              <w:t>SciPy</w:t>
            </w:r>
          </w:p>
        </w:tc>
        <w:tc>
          <w:tcPr>
            <w:tcW w:type="dxa" w:w="3024"/>
          </w:tcPr>
          <w:p>
            <w:r>
              <w:rPr>
                <w:rFonts w:ascii="Times New Roman" w:hAnsi="Times New Roman"/>
                <w:sz w:val="19"/>
              </w:rPr>
              <w:t>hypergeometric test, Hungarian assignment</w:t>
            </w:r>
          </w:p>
        </w:tc>
      </w:tr>
      <w:tr>
        <w:tc>
          <w:tcPr>
            <w:tcW w:type="dxa" w:w="3024"/>
          </w:tcPr>
          <w:p>
            <w:r>
              <w:rPr>
                <w:rFonts w:ascii="Times New Roman" w:hAnsi="Times New Roman"/>
                <w:sz w:val="19"/>
              </w:rPr>
              <w:t>23</w:t>
            </w:r>
          </w:p>
        </w:tc>
        <w:tc>
          <w:tcPr>
            <w:tcW w:type="dxa" w:w="3024"/>
          </w:tcPr>
          <w:p>
            <w:r>
              <w:rPr>
                <w:rFonts w:ascii="Times New Roman" w:hAnsi="Times New Roman"/>
                <w:sz w:val="19"/>
              </w:rPr>
              <w:t>scikit-learn</w:t>
            </w:r>
          </w:p>
        </w:tc>
        <w:tc>
          <w:tcPr>
            <w:tcW w:type="dxa" w:w="3024"/>
          </w:tcPr>
          <w:p>
            <w:r>
              <w:rPr>
                <w:rFonts w:ascii="Times New Roman" w:hAnsi="Times New Roman"/>
                <w:sz w:val="19"/>
              </w:rPr>
              <w:t>descriptor MLP, AUROC metrics</w:t>
            </w:r>
          </w:p>
        </w:tc>
      </w:tr>
      <w:tr>
        <w:tc>
          <w:tcPr>
            <w:tcW w:type="dxa" w:w="3024"/>
          </w:tcPr>
          <w:p>
            <w:r>
              <w:rPr>
                <w:rFonts w:ascii="Times New Roman" w:hAnsi="Times New Roman"/>
                <w:sz w:val="19"/>
              </w:rPr>
              <w:t>24</w:t>
            </w:r>
          </w:p>
        </w:tc>
        <w:tc>
          <w:tcPr>
            <w:tcW w:type="dxa" w:w="3024"/>
          </w:tcPr>
          <w:p>
            <w:r>
              <w:rPr>
                <w:rFonts w:ascii="Times New Roman" w:hAnsi="Times New Roman"/>
                <w:sz w:val="19"/>
              </w:rPr>
              <w:t>PyTorch</w:t>
            </w:r>
          </w:p>
        </w:tc>
        <w:tc>
          <w:tcPr>
            <w:tcW w:type="dxa" w:w="3024"/>
          </w:tcPr>
          <w:p>
            <w:r>
              <w:rPr>
                <w:rFonts w:ascii="Times New Roman" w:hAnsi="Times New Roman"/>
                <w:sz w:val="19"/>
              </w:rPr>
              <w:t>pose-graph GNN rescorer</w:t>
            </w:r>
          </w:p>
        </w:tc>
      </w:tr>
      <w:tr>
        <w:tc>
          <w:tcPr>
            <w:tcW w:type="dxa" w:w="3024"/>
          </w:tcPr>
          <w:p>
            <w:r>
              <w:rPr>
                <w:rFonts w:ascii="Times New Roman" w:hAnsi="Times New Roman"/>
                <w:sz w:val="19"/>
              </w:rPr>
              <w:t>25</w:t>
            </w:r>
          </w:p>
        </w:tc>
        <w:tc>
          <w:tcPr>
            <w:tcW w:type="dxa" w:w="3024"/>
          </w:tcPr>
          <w:p>
            <w:r>
              <w:rPr>
                <w:rFonts w:ascii="Times New Roman" w:hAnsi="Times New Roman"/>
                <w:sz w:val="19"/>
              </w:rPr>
              <w:t>matplotlib</w:t>
            </w:r>
          </w:p>
        </w:tc>
        <w:tc>
          <w:tcPr>
            <w:tcW w:type="dxa" w:w="3024"/>
          </w:tcPr>
          <w:p>
            <w:r>
              <w:rPr>
                <w:rFonts w:ascii="Times New Roman" w:hAnsi="Times New Roman"/>
                <w:sz w:val="19"/>
              </w:rPr>
              <w:t>all figures</w:t>
            </w:r>
          </w:p>
        </w:tc>
      </w:tr>
      <w:tr>
        <w:tc>
          <w:tcPr>
            <w:tcW w:type="dxa" w:w="3024"/>
          </w:tcPr>
          <w:p>
            <w:r>
              <w:rPr>
                <w:rFonts w:ascii="Times New Roman" w:hAnsi="Times New Roman"/>
                <w:sz w:val="19"/>
              </w:rPr>
              <w:t>26</w:t>
            </w:r>
          </w:p>
        </w:tc>
        <w:tc>
          <w:tcPr>
            <w:tcW w:type="dxa" w:w="3024"/>
          </w:tcPr>
          <w:p>
            <w:r>
              <w:rPr>
                <w:rFonts w:ascii="Times New Roman" w:hAnsi="Times New Roman"/>
                <w:sz w:val="19"/>
              </w:rPr>
              <w:t>requests / urllib</w:t>
            </w:r>
          </w:p>
        </w:tc>
        <w:tc>
          <w:tcPr>
            <w:tcW w:type="dxa" w:w="3024"/>
          </w:tcPr>
          <w:p>
            <w:r>
              <w:rPr>
                <w:rFonts w:ascii="Times New Roman" w:hAnsi="Times New Roman"/>
                <w:sz w:val="19"/>
              </w:rPr>
              <w:t>live API clients</w:t>
            </w:r>
          </w:p>
        </w:tc>
      </w:tr>
      <w:tr>
        <w:tc>
          <w:tcPr>
            <w:tcW w:type="dxa" w:w="3024"/>
          </w:tcPr>
          <w:p>
            <w:r>
              <w:rPr>
                <w:rFonts w:ascii="Times New Roman" w:hAnsi="Times New Roman"/>
                <w:sz w:val="19"/>
              </w:rPr>
              <w:t>27</w:t>
            </w:r>
          </w:p>
        </w:tc>
        <w:tc>
          <w:tcPr>
            <w:tcW w:type="dxa" w:w="3024"/>
          </w:tcPr>
          <w:p>
            <w:r>
              <w:rPr>
                <w:rFonts w:ascii="Times New Roman" w:hAnsi="Times New Roman"/>
                <w:sz w:val="19"/>
              </w:rPr>
              <w:t>pytest</w:t>
            </w:r>
          </w:p>
        </w:tc>
        <w:tc>
          <w:tcPr>
            <w:tcW w:type="dxa" w:w="3024"/>
          </w:tcPr>
          <w:p>
            <w:r>
              <w:rPr>
                <w:rFonts w:ascii="Times New Roman" w:hAnsi="Times New Roman"/>
                <w:sz w:val="19"/>
              </w:rPr>
              <w:t>hermetic test suite (17 tests)</w:t>
            </w:r>
          </w:p>
        </w:tc>
      </w:tr>
      <w:tr>
        <w:tc>
          <w:tcPr>
            <w:tcW w:type="dxa" w:w="3024"/>
          </w:tcPr>
          <w:p>
            <w:r>
              <w:rPr>
                <w:rFonts w:ascii="Times New Roman" w:hAnsi="Times New Roman"/>
                <w:sz w:val="19"/>
              </w:rPr>
              <w:t>28</w:t>
            </w:r>
          </w:p>
        </w:tc>
        <w:tc>
          <w:tcPr>
            <w:tcW w:type="dxa" w:w="3024"/>
          </w:tcPr>
          <w:p>
            <w:r>
              <w:rPr>
                <w:rFonts w:ascii="Times New Roman" w:hAnsi="Times New Roman"/>
                <w:sz w:val="19"/>
              </w:rPr>
              <w:t>python-docx</w:t>
            </w:r>
          </w:p>
        </w:tc>
        <w:tc>
          <w:tcPr>
            <w:tcW w:type="dxa" w:w="3024"/>
          </w:tcPr>
          <w:p>
            <w:r>
              <w:rPr>
                <w:rFonts w:ascii="Times New Roman" w:hAnsi="Times New Roman"/>
                <w:sz w:val="19"/>
              </w:rPr>
              <w:t>generated paper (this document)</w:t>
            </w:r>
          </w:p>
        </w:tc>
      </w:tr>
      <w:tr>
        <w:tc>
          <w:tcPr>
            <w:tcW w:type="dxa" w:w="3024"/>
          </w:tcPr>
          <w:p>
            <w:r>
              <w:rPr>
                <w:rFonts w:ascii="Times New Roman" w:hAnsi="Times New Roman"/>
                <w:sz w:val="19"/>
              </w:rPr>
              <w:t>29</w:t>
            </w:r>
          </w:p>
        </w:tc>
        <w:tc>
          <w:tcPr>
            <w:tcW w:type="dxa" w:w="3024"/>
          </w:tcPr>
          <w:p>
            <w:r>
              <w:rPr>
                <w:rFonts w:ascii="Times New Roman" w:hAnsi="Times New Roman"/>
                <w:sz w:val="19"/>
              </w:rPr>
              <w:t>LibreOffice (soffice)</w:t>
            </w:r>
          </w:p>
        </w:tc>
        <w:tc>
          <w:tcPr>
            <w:tcW w:type="dxa" w:w="3024"/>
          </w:tcPr>
          <w:p>
            <w:r>
              <w:rPr>
                <w:rFonts w:ascii="Times New Roman" w:hAnsi="Times New Roman"/>
                <w:sz w:val="19"/>
              </w:rPr>
              <w:t>PDF rendering of the paper</w:t>
            </w:r>
          </w:p>
        </w:tc>
      </w:tr>
      <w:tr>
        <w:tc>
          <w:tcPr>
            <w:tcW w:type="dxa" w:w="3024"/>
          </w:tcPr>
          <w:p>
            <w:r>
              <w:rPr>
                <w:rFonts w:ascii="Times New Roman" w:hAnsi="Times New Roman"/>
                <w:sz w:val="19"/>
              </w:rPr>
              <w:t>30</w:t>
            </w:r>
          </w:p>
        </w:tc>
        <w:tc>
          <w:tcPr>
            <w:tcW w:type="dxa" w:w="3024"/>
          </w:tcPr>
          <w:p>
            <w:r>
              <w:rPr>
                <w:rFonts w:ascii="Times New Roman" w:hAnsi="Times New Roman"/>
                <w:sz w:val="19"/>
              </w:rPr>
              <w:t>Hungarian algorithm</w:t>
            </w:r>
          </w:p>
        </w:tc>
        <w:tc>
          <w:tcPr>
            <w:tcW w:type="dxa" w:w="3024"/>
          </w:tcPr>
          <w:p>
            <w:r>
              <w:rPr>
                <w:rFonts w:ascii="Times New Roman" w:hAnsi="Times New Roman"/>
                <w:sz w:val="19"/>
              </w:rPr>
              <w:t>connectivity-free pose-RMSD assignment</w:t>
            </w:r>
          </w:p>
        </w:tc>
      </w:tr>
      <w:tr>
        <w:tc>
          <w:tcPr>
            <w:tcW w:type="dxa" w:w="3024"/>
          </w:tcPr>
          <w:p>
            <w:r>
              <w:rPr>
                <w:rFonts w:ascii="Times New Roman" w:hAnsi="Times New Roman"/>
                <w:sz w:val="19"/>
              </w:rPr>
              <w:t>31</w:t>
            </w:r>
          </w:p>
        </w:tc>
        <w:tc>
          <w:tcPr>
            <w:tcW w:type="dxa" w:w="3024"/>
          </w:tcPr>
          <w:p>
            <w:r>
              <w:rPr>
                <w:rFonts w:ascii="Times New Roman" w:hAnsi="Times New Roman"/>
                <w:sz w:val="19"/>
              </w:rPr>
              <w:t>Kabsch algorithm</w:t>
            </w:r>
          </w:p>
        </w:tc>
        <w:tc>
          <w:tcPr>
            <w:tcW w:type="dxa" w:w="3024"/>
          </w:tcPr>
          <w:p>
            <w:r>
              <w:rPr>
                <w:rFonts w:ascii="Times New Roman" w:hAnsi="Times New Roman"/>
                <w:sz w:val="19"/>
              </w:rPr>
              <w:t>rigid superposition for RMSD</w:t>
            </w:r>
          </w:p>
        </w:tc>
      </w:tr>
      <w:tr>
        <w:tc>
          <w:tcPr>
            <w:tcW w:type="dxa" w:w="3024"/>
          </w:tcPr>
          <w:p>
            <w:r>
              <w:rPr>
                <w:rFonts w:ascii="Times New Roman" w:hAnsi="Times New Roman"/>
                <w:sz w:val="19"/>
              </w:rPr>
              <w:t>32</w:t>
            </w:r>
          </w:p>
        </w:tc>
        <w:tc>
          <w:tcPr>
            <w:tcW w:type="dxa" w:w="3024"/>
          </w:tcPr>
          <w:p>
            <w:r>
              <w:rPr>
                <w:rFonts w:ascii="Times New Roman" w:hAnsi="Times New Roman"/>
                <w:sz w:val="19"/>
              </w:rPr>
              <w:t>BFGS (in Vina)</w:t>
            </w:r>
          </w:p>
        </w:tc>
        <w:tc>
          <w:tcPr>
            <w:tcW w:type="dxa" w:w="3024"/>
          </w:tcPr>
          <w:p>
            <w:r>
              <w:rPr>
                <w:rFonts w:ascii="Times New Roman" w:hAnsi="Times New Roman"/>
                <w:sz w:val="19"/>
              </w:rPr>
              <w:t>pose optimization inner loop</w:t>
            </w:r>
          </w:p>
        </w:tc>
      </w:tr>
      <w:tr>
        <w:tc>
          <w:tcPr>
            <w:tcW w:type="dxa" w:w="3024"/>
          </w:tcPr>
          <w:p>
            <w:r>
              <w:rPr>
                <w:rFonts w:ascii="Times New Roman" w:hAnsi="Times New Roman"/>
                <w:sz w:val="19"/>
              </w:rPr>
              <w:t>33</w:t>
            </w:r>
          </w:p>
        </w:tc>
        <w:tc>
          <w:tcPr>
            <w:tcW w:type="dxa" w:w="3024"/>
          </w:tcPr>
          <w:p>
            <w:r>
              <w:rPr>
                <w:rFonts w:ascii="Times New Roman" w:hAnsi="Times New Roman"/>
                <w:sz w:val="19"/>
              </w:rPr>
              <w:t>Mann-Whitney AUROC</w:t>
            </w:r>
          </w:p>
        </w:tc>
        <w:tc>
          <w:tcPr>
            <w:tcW w:type="dxa" w:w="3024"/>
          </w:tcPr>
          <w:p>
            <w:r>
              <w:rPr>
                <w:rFonts w:ascii="Times New Roman" w:hAnsi="Times New Roman"/>
                <w:sz w:val="19"/>
              </w:rPr>
              <w:t>ranking statistic (B.4)</w:t>
            </w:r>
          </w:p>
        </w:tc>
      </w:tr>
      <w:tr>
        <w:tc>
          <w:tcPr>
            <w:tcW w:type="dxa" w:w="3024"/>
          </w:tcPr>
          <w:p>
            <w:r>
              <w:rPr>
                <w:rFonts w:ascii="Times New Roman" w:hAnsi="Times New Roman"/>
                <w:sz w:val="19"/>
              </w:rPr>
              <w:t>34</w:t>
            </w:r>
          </w:p>
        </w:tc>
        <w:tc>
          <w:tcPr>
            <w:tcW w:type="dxa" w:w="3024"/>
          </w:tcPr>
          <w:p>
            <w:r>
              <w:rPr>
                <w:rFonts w:ascii="Times New Roman" w:hAnsi="Times New Roman"/>
                <w:sz w:val="19"/>
              </w:rPr>
              <w:t>Exact hypergeometric test</w:t>
            </w:r>
          </w:p>
        </w:tc>
        <w:tc>
          <w:tcPr>
            <w:tcW w:type="dxa" w:w="3024"/>
          </w:tcPr>
          <w:p>
            <w:r>
              <w:rPr>
                <w:rFonts w:ascii="Times New Roman" w:hAnsi="Times New Roman"/>
                <w:sz w:val="19"/>
              </w:rPr>
              <w:t>top-8 enrichment p-value (B.3)</w:t>
            </w:r>
          </w:p>
        </w:tc>
      </w:tr>
      <w:tr>
        <w:tc>
          <w:tcPr>
            <w:tcW w:type="dxa" w:w="3024"/>
          </w:tcPr>
          <w:p>
            <w:r>
              <w:rPr>
                <w:rFonts w:ascii="Times New Roman" w:hAnsi="Times New Roman"/>
                <w:sz w:val="19"/>
              </w:rPr>
              <w:t>35</w:t>
            </w:r>
          </w:p>
        </w:tc>
        <w:tc>
          <w:tcPr>
            <w:tcW w:type="dxa" w:w="3024"/>
          </w:tcPr>
          <w:p>
            <w:r>
              <w:rPr>
                <w:rFonts w:ascii="Times New Roman" w:hAnsi="Times New Roman"/>
                <w:sz w:val="19"/>
              </w:rPr>
              <w:t>Message-passing GNN</w:t>
            </w:r>
          </w:p>
        </w:tc>
        <w:tc>
          <w:tcPr>
            <w:tcW w:type="dxa" w:w="3024"/>
          </w:tcPr>
          <w:p>
            <w:r>
              <w:rPr>
                <w:rFonts w:ascii="Times New Roman" w:hAnsi="Times New Roman"/>
                <w:sz w:val="19"/>
              </w:rPr>
              <w:t>pose-graph rescoring (B.5)</w:t>
            </w:r>
          </w:p>
        </w:tc>
      </w:tr>
      <w:tr>
        <w:tc>
          <w:tcPr>
            <w:tcW w:type="dxa" w:w="3024"/>
          </w:tcPr>
          <w:p>
            <w:r>
              <w:rPr>
                <w:rFonts w:ascii="Times New Roman" w:hAnsi="Times New Roman"/>
                <w:sz w:val="19"/>
              </w:rPr>
              <w:t>36</w:t>
            </w:r>
          </w:p>
        </w:tc>
        <w:tc>
          <w:tcPr>
            <w:tcW w:type="dxa" w:w="3024"/>
          </w:tcPr>
          <w:p>
            <w:r>
              <w:rPr>
                <w:rFonts w:ascii="Times New Roman" w:hAnsi="Times New Roman"/>
                <w:sz w:val="19"/>
              </w:rPr>
              <w:t>Descriptor MLP</w:t>
            </w:r>
          </w:p>
        </w:tc>
        <w:tc>
          <w:tcPr>
            <w:tcW w:type="dxa" w:w="3024"/>
          </w:tcPr>
          <w:p>
            <w:r>
              <w:rPr>
                <w:rFonts w:ascii="Times New Roman" w:hAnsi="Times New Roman"/>
                <w:sz w:val="19"/>
              </w:rPr>
              <w:t>baseline learned rescorer</w:t>
            </w:r>
          </w:p>
        </w:tc>
      </w:tr>
      <w:tr>
        <w:tc>
          <w:tcPr>
            <w:tcW w:type="dxa" w:w="3024"/>
          </w:tcPr>
          <w:p>
            <w:r>
              <w:rPr>
                <w:rFonts w:ascii="Times New Roman" w:hAnsi="Times New Roman"/>
                <w:sz w:val="19"/>
              </w:rPr>
              <w:t>37</w:t>
            </w:r>
          </w:p>
        </w:tc>
        <w:tc>
          <w:tcPr>
            <w:tcW w:type="dxa" w:w="3024"/>
          </w:tcPr>
          <w:p>
            <w:r>
              <w:rPr>
                <w:rFonts w:ascii="Times New Roman" w:hAnsi="Times New Roman"/>
                <w:sz w:val="19"/>
              </w:rPr>
              <w:t>Tanimoto similarity</w:t>
            </w:r>
          </w:p>
        </w:tc>
        <w:tc>
          <w:tcPr>
            <w:tcW w:type="dxa" w:w="3024"/>
          </w:tcPr>
          <w:p>
            <w:r>
              <w:rPr>
                <w:rFonts w:ascii="Times New Roman" w:hAnsi="Times New Roman"/>
                <w:sz w:val="19"/>
              </w:rPr>
              <w:t>novelty distance to known drugs</w:t>
            </w:r>
          </w:p>
        </w:tc>
      </w:tr>
      <w:tr>
        <w:tc>
          <w:tcPr>
            <w:tcW w:type="dxa" w:w="3024"/>
          </w:tcPr>
          <w:p>
            <w:r>
              <w:rPr>
                <w:rFonts w:ascii="Times New Roman" w:hAnsi="Times New Roman"/>
                <w:sz w:val="19"/>
              </w:rPr>
              <w:t>38</w:t>
            </w:r>
          </w:p>
        </w:tc>
        <w:tc>
          <w:tcPr>
            <w:tcW w:type="dxa" w:w="3024"/>
          </w:tcPr>
          <w:p>
            <w:r>
              <w:rPr>
                <w:rFonts w:ascii="Times New Roman" w:hAnsi="Times New Roman"/>
                <w:sz w:val="19"/>
              </w:rPr>
              <w:t>PDBbind-fitted Vina weights</w:t>
            </w:r>
          </w:p>
        </w:tc>
        <w:tc>
          <w:tcPr>
            <w:tcW w:type="dxa" w:w="3024"/>
          </w:tcPr>
          <w:p>
            <w:r>
              <w:rPr>
                <w:rFonts w:ascii="Times New Roman" w:hAnsi="Times New Roman"/>
                <w:sz w:val="19"/>
              </w:rPr>
              <w:t>the engine's empirical calibration</w:t>
            </w:r>
          </w:p>
        </w:tc>
      </w:tr>
      <w:tr>
        <w:tc>
          <w:tcPr>
            <w:tcW w:type="dxa" w:w="3024"/>
          </w:tcPr>
          <w:p>
            <w:r>
              <w:rPr>
                <w:rFonts w:ascii="Times New Roman" w:hAnsi="Times New Roman"/>
                <w:sz w:val="19"/>
              </w:rPr>
              <w:t>39</w:t>
            </w:r>
          </w:p>
        </w:tc>
        <w:tc>
          <w:tcPr>
            <w:tcW w:type="dxa" w:w="3024"/>
          </w:tcPr>
          <w:p>
            <w:r>
              <w:rPr>
                <w:rFonts w:ascii="Times New Roman" w:hAnsi="Times New Roman"/>
                <w:sz w:val="19"/>
              </w:rPr>
              <w:t>Google Drive API</w:t>
            </w:r>
          </w:p>
        </w:tc>
        <w:tc>
          <w:tcPr>
            <w:tcW w:type="dxa" w:w="3024"/>
          </w:tcPr>
          <w:p>
            <w:r>
              <w:rPr>
                <w:rFonts w:ascii="Times New Roman" w:hAnsi="Times New Roman"/>
                <w:sz w:val="19"/>
              </w:rPr>
              <w:t>results delivery</w:t>
            </w:r>
          </w:p>
        </w:tc>
      </w:tr>
      <w:tr>
        <w:tc>
          <w:tcPr>
            <w:tcW w:type="dxa" w:w="3024"/>
          </w:tcPr>
          <w:p>
            <w:r>
              <w:rPr>
                <w:rFonts w:ascii="Times New Roman" w:hAnsi="Times New Roman"/>
                <w:sz w:val="19"/>
              </w:rPr>
              <w:t>40</w:t>
            </w:r>
          </w:p>
        </w:tc>
        <w:tc>
          <w:tcPr>
            <w:tcW w:type="dxa" w:w="3024"/>
          </w:tcPr>
          <w:p>
            <w:r>
              <w:rPr>
                <w:rFonts w:ascii="Times New Roman" w:hAnsi="Times New Roman"/>
                <w:sz w:val="19"/>
              </w:rPr>
              <w:t>GitHub</w:t>
            </w:r>
          </w:p>
        </w:tc>
        <w:tc>
          <w:tcPr>
            <w:tcW w:type="dxa" w:w="3024"/>
          </w:tcPr>
          <w:p>
            <w:r>
              <w:rPr>
                <w:rFonts w:ascii="Times New Roman" w:hAnsi="Times New Roman"/>
                <w:sz w:val="19"/>
              </w:rPr>
              <w:t>code and record distribution</w:t>
            </w:r>
          </w:p>
        </w:tc>
      </w:tr>
    </w:tbl>
    <w:p>
      <w:r>
        <w:br w:type="page"/>
      </w:r>
    </w:p>
    <w:p>
      <w:pPr>
        <w:pStyle w:val="Heading1"/>
        <w:pBdr>
          <w:bottom w:val="single" w:sz="12" w:space="4" w:color="1F4E9C"/>
        </w:pBdr>
      </w:pPr>
      <w:r>
        <w:rPr>
          <w:rFonts w:ascii="Times New Roman" w:hAnsi="Times New Roman"/>
          <w:color w:val="1F4E9C"/>
        </w:rPr>
        <w:t>Appendix K. Dataset Manifest (accession-level)</w:t>
      </w:r>
    </w:p>
    <w:p>
      <w:r>
        <w:rPr>
          <w:rFonts w:ascii="Times New Roman" w:hAnsi="Times New Roman"/>
          <w:b w:val="0"/>
          <w:i w:val="0"/>
        </w:rPr>
        <w:t>Counting rule: distinct accession-level datasets actually used; one study's condition matrix counts once per accession. Total: 580+ records across 14 source families (grew with the ChEMBL Mpro label set).</w:t>
      </w:r>
    </w:p>
    <w:tbl>
      <w:tblPr>
        <w:tblStyle w:val="TableGrid"/>
        <w:tblW w:type="auto" w:w="0"/>
        <w:tblLook w:firstColumn="1" w:firstRow="1" w:lastColumn="0" w:lastRow="0" w:noHBand="0" w:noVBand="1" w:val="04A0"/>
      </w:tblPr>
      <w:tblGrid>
        <w:gridCol w:w="3024"/>
        <w:gridCol w:w="3024"/>
        <w:gridCol w:w="3024"/>
      </w:tblGrid>
      <w:tr>
        <w:tc>
          <w:tcPr>
            <w:tcW w:type="dxa" w:w="3024"/>
            <w:shd w:val="clear" w:fill="DCE6F1"/>
          </w:tcPr>
          <w:p>
            <w:r>
              <w:rPr>
                <w:rFonts w:ascii="Times New Roman" w:hAnsi="Times New Roman"/>
                <w:b/>
                <w:sz w:val="19"/>
              </w:rPr>
              <w:t>dataset family</w:t>
            </w:r>
          </w:p>
        </w:tc>
        <w:tc>
          <w:tcPr>
            <w:tcW w:type="dxa" w:w="3024"/>
            <w:shd w:val="clear" w:fill="DCE6F1"/>
          </w:tcPr>
          <w:p>
            <w:r>
              <w:rPr>
                <w:rFonts w:ascii="Times New Roman" w:hAnsi="Times New Roman"/>
                <w:b/>
                <w:sz w:val="19"/>
              </w:rPr>
              <w:t>count</w:t>
            </w:r>
          </w:p>
        </w:tc>
        <w:tc>
          <w:tcPr>
            <w:tcW w:type="dxa" w:w="3024"/>
            <w:shd w:val="clear" w:fill="DCE6F1"/>
          </w:tcPr>
          <w:p>
            <w:r>
              <w:rPr>
                <w:rFonts w:ascii="Times New Roman" w:hAnsi="Times New Roman"/>
                <w:b/>
                <w:sz w:val="19"/>
              </w:rPr>
              <w:t>contents</w:t>
            </w:r>
          </w:p>
        </w:tc>
      </w:tr>
      <w:tr>
        <w:tc>
          <w:tcPr>
            <w:tcW w:type="dxa" w:w="3024"/>
          </w:tcPr>
          <w:p>
            <w:r>
              <w:rPr>
                <w:rFonts w:ascii="Times New Roman" w:hAnsi="Times New Roman"/>
                <w:sz w:val="19"/>
              </w:rPr>
              <w:t>PDB crystal structures</w:t>
            </w:r>
          </w:p>
        </w:tc>
        <w:tc>
          <w:tcPr>
            <w:tcW w:type="dxa" w:w="3024"/>
          </w:tcPr>
          <w:p>
            <w:r>
              <w:rPr>
                <w:rFonts w:ascii="Times New Roman" w:hAnsi="Times New Roman"/>
                <w:sz w:val="19"/>
              </w:rPr>
              <w:t>10</w:t>
            </w:r>
          </w:p>
        </w:tc>
        <w:tc>
          <w:tcPr>
            <w:tcW w:type="dxa" w:w="3024"/>
          </w:tcPr>
          <w:p>
            <w:r>
              <w:rPr>
                <w:rFonts w:ascii="Times New Roman" w:hAnsi="Times New Roman"/>
                <w:sz w:val="19"/>
              </w:rPr>
              <w:t>7KX5 receptor + 9-structure pocket set (6LU7, 7BQY, 6W63, 7K3T, 7L11, 7D1M, 7C6S, 7VTL, 7RFS)</w:t>
            </w:r>
          </w:p>
        </w:tc>
      </w:tr>
      <w:tr>
        <w:tc>
          <w:tcPr>
            <w:tcW w:type="dxa" w:w="3024"/>
          </w:tcPr>
          <w:p>
            <w:r>
              <w:rPr>
                <w:rFonts w:ascii="Times New Roman" w:hAnsi="Times New Roman"/>
                <w:sz w:val="19"/>
              </w:rPr>
              <w:t>PDB CCD ligand entries</w:t>
            </w:r>
          </w:p>
        </w:tc>
        <w:tc>
          <w:tcPr>
            <w:tcW w:type="dxa" w:w="3024"/>
          </w:tcPr>
          <w:p>
            <w:r>
              <w:rPr>
                <w:rFonts w:ascii="Times New Roman" w:hAnsi="Times New Roman"/>
                <w:sz w:val="19"/>
              </w:rPr>
              <w:t>1</w:t>
            </w:r>
          </w:p>
        </w:tc>
        <w:tc>
          <w:tcPr>
            <w:tcW w:type="dxa" w:w="3024"/>
          </w:tcPr>
          <w:p>
            <w:r>
              <w:rPr>
                <w:rFonts w:ascii="Times New Roman" w:hAnsi="Times New Roman"/>
                <w:sz w:val="19"/>
              </w:rPr>
              <w:t>X7V ideal coordinates</w:t>
            </w:r>
          </w:p>
        </w:tc>
      </w:tr>
      <w:tr>
        <w:tc>
          <w:tcPr>
            <w:tcW w:type="dxa" w:w="3024"/>
          </w:tcPr>
          <w:p>
            <w:r>
              <w:rPr>
                <w:rFonts w:ascii="Times New Roman" w:hAnsi="Times New Roman"/>
                <w:sz w:val="19"/>
              </w:rPr>
              <w:t>PubChem compound records</w:t>
            </w:r>
          </w:p>
        </w:tc>
        <w:tc>
          <w:tcPr>
            <w:tcW w:type="dxa" w:w="3024"/>
          </w:tcPr>
          <w:p>
            <w:r>
              <w:rPr>
                <w:rFonts w:ascii="Times New Roman" w:hAnsi="Times New Roman"/>
                <w:sz w:val="19"/>
              </w:rPr>
              <w:t>22</w:t>
            </w:r>
          </w:p>
        </w:tc>
        <w:tc>
          <w:tcPr>
            <w:tcW w:type="dxa" w:w="3024"/>
          </w:tcPr>
          <w:p>
            <w:r>
              <w:rPr>
                <w:rFonts w:ascii="Times New Roman" w:hAnsi="Times New Roman"/>
                <w:sz w:val="19"/>
              </w:rPr>
              <w:t>one per screened compound (properties + SMILES)</w:t>
            </w:r>
          </w:p>
        </w:tc>
      </w:tr>
      <w:tr>
        <w:tc>
          <w:tcPr>
            <w:tcW w:type="dxa" w:w="3024"/>
          </w:tcPr>
          <w:p>
            <w:r>
              <w:rPr>
                <w:rFonts w:ascii="Times New Roman" w:hAnsi="Times New Roman"/>
                <w:sz w:val="19"/>
              </w:rPr>
              <w:t>PubChem query sets</w:t>
            </w:r>
          </w:p>
        </w:tc>
        <w:tc>
          <w:tcPr>
            <w:tcW w:type="dxa" w:w="3024"/>
          </w:tcPr>
          <w:p>
            <w:r>
              <w:rPr>
                <w:rFonts w:ascii="Times New Roman" w:hAnsi="Times New Roman"/>
                <w:sz w:val="19"/>
              </w:rPr>
              <w:t>3</w:t>
            </w:r>
          </w:p>
        </w:tc>
        <w:tc>
          <w:tcPr>
            <w:tcW w:type="dxa" w:w="3024"/>
          </w:tcPr>
          <w:p>
            <w:r>
              <w:rPr>
                <w:rFonts w:ascii="Times New Roman" w:hAnsi="Times New Roman"/>
                <w:sz w:val="19"/>
              </w:rPr>
              <w:t>MPRO-D1 identity + 0.85/0.95 similarity neighborhoods</w:t>
            </w:r>
          </w:p>
        </w:tc>
      </w:tr>
      <w:tr>
        <w:tc>
          <w:tcPr>
            <w:tcW w:type="dxa" w:w="3024"/>
          </w:tcPr>
          <w:p>
            <w:r>
              <w:rPr>
                <w:rFonts w:ascii="Times New Roman" w:hAnsi="Times New Roman"/>
                <w:sz w:val="19"/>
              </w:rPr>
              <w:t>ChEMBL molecule records</w:t>
            </w:r>
          </w:p>
        </w:tc>
        <w:tc>
          <w:tcPr>
            <w:tcW w:type="dxa" w:w="3024"/>
          </w:tcPr>
          <w:p>
            <w:r>
              <w:rPr>
                <w:rFonts w:ascii="Times New Roman" w:hAnsi="Times New Roman"/>
                <w:sz w:val="19"/>
              </w:rPr>
              <w:t>22</w:t>
            </w:r>
          </w:p>
        </w:tc>
        <w:tc>
          <w:tcPr>
            <w:tcW w:type="dxa" w:w="3024"/>
          </w:tcPr>
          <w:p>
            <w:r>
              <w:rPr>
                <w:rFonts w:ascii="Times New Roman" w:hAnsi="Times New Roman"/>
                <w:sz w:val="19"/>
              </w:rPr>
              <w:t>one per screened compound</w:t>
            </w:r>
          </w:p>
        </w:tc>
      </w:tr>
      <w:tr>
        <w:tc>
          <w:tcPr>
            <w:tcW w:type="dxa" w:w="3024"/>
          </w:tcPr>
          <w:p>
            <w:r>
              <w:rPr>
                <w:rFonts w:ascii="Times New Roman" w:hAnsi="Times New Roman"/>
                <w:sz w:val="19"/>
              </w:rPr>
              <w:t>ChEMBL assay sets</w:t>
            </w:r>
          </w:p>
        </w:tc>
        <w:tc>
          <w:tcPr>
            <w:tcW w:type="dxa" w:w="3024"/>
          </w:tcPr>
          <w:p>
            <w:r>
              <w:rPr>
                <w:rFonts w:ascii="Times New Roman" w:hAnsi="Times New Roman"/>
                <w:sz w:val="19"/>
              </w:rPr>
              <w:t>65</w:t>
            </w:r>
          </w:p>
        </w:tc>
        <w:tc>
          <w:tcPr>
            <w:tcW w:type="dxa" w:w="3024"/>
          </w:tcPr>
          <w:p>
            <w:r>
              <w:rPr>
                <w:rFonts w:ascii="Times New Roman" w:hAnsi="Times New Roman"/>
                <w:sz w:val="19"/>
              </w:rPr>
              <w:t>sampled bioactivity assays anchoring labels</w:t>
            </w:r>
          </w:p>
        </w:tc>
      </w:tr>
      <w:tr>
        <w:tc>
          <w:tcPr>
            <w:tcW w:type="dxa" w:w="3024"/>
          </w:tcPr>
          <w:p>
            <w:r>
              <w:rPr>
                <w:rFonts w:ascii="Times New Roman" w:hAnsi="Times New Roman"/>
                <w:sz w:val="19"/>
              </w:rPr>
              <w:t>ChEMBL target records</w:t>
            </w:r>
          </w:p>
        </w:tc>
        <w:tc>
          <w:tcPr>
            <w:tcW w:type="dxa" w:w="3024"/>
          </w:tcPr>
          <w:p>
            <w:r>
              <w:rPr>
                <w:rFonts w:ascii="Times New Roman" w:hAnsi="Times New Roman"/>
                <w:sz w:val="19"/>
              </w:rPr>
              <w:t>1</w:t>
            </w:r>
          </w:p>
        </w:tc>
        <w:tc>
          <w:tcPr>
            <w:tcW w:type="dxa" w:w="3024"/>
          </w:tcPr>
          <w:p>
            <w:r>
              <w:rPr>
                <w:rFonts w:ascii="Times New Roman" w:hAnsi="Times New Roman"/>
                <w:sz w:val="19"/>
              </w:rPr>
              <w:t>Mpro target search hit</w:t>
            </w:r>
          </w:p>
        </w:tc>
      </w:tr>
      <w:tr>
        <w:tc>
          <w:tcPr>
            <w:tcW w:type="dxa" w:w="3024"/>
          </w:tcPr>
          <w:p>
            <w:r>
              <w:rPr>
                <w:rFonts w:ascii="Times New Roman" w:hAnsi="Times New Roman"/>
                <w:sz w:val="19"/>
              </w:rPr>
              <w:t>UniProt records</w:t>
            </w:r>
          </w:p>
        </w:tc>
        <w:tc>
          <w:tcPr>
            <w:tcW w:type="dxa" w:w="3024"/>
          </w:tcPr>
          <w:p>
            <w:r>
              <w:rPr>
                <w:rFonts w:ascii="Times New Roman" w:hAnsi="Times New Roman"/>
                <w:sz w:val="19"/>
              </w:rPr>
              <w:t>1</w:t>
            </w:r>
          </w:p>
        </w:tc>
        <w:tc>
          <w:tcPr>
            <w:tcW w:type="dxa" w:w="3024"/>
          </w:tcPr>
          <w:p>
            <w:r>
              <w:rPr>
                <w:rFonts w:ascii="Times New Roman" w:hAnsi="Times New Roman"/>
                <w:sz w:val="19"/>
              </w:rPr>
              <w:t>P0DTD1</w:t>
            </w:r>
          </w:p>
        </w:tc>
      </w:tr>
      <w:tr>
        <w:tc>
          <w:tcPr>
            <w:tcW w:type="dxa" w:w="3024"/>
          </w:tcPr>
          <w:p>
            <w:r>
              <w:rPr>
                <w:rFonts w:ascii="Times New Roman" w:hAnsi="Times New Roman"/>
                <w:sz w:val="19"/>
              </w:rPr>
              <w:t>Europe PMC literature sets</w:t>
            </w:r>
          </w:p>
        </w:tc>
        <w:tc>
          <w:tcPr>
            <w:tcW w:type="dxa" w:w="3024"/>
          </w:tcPr>
          <w:p>
            <w:r>
              <w:rPr>
                <w:rFonts w:ascii="Times New Roman" w:hAnsi="Times New Roman"/>
                <w:sz w:val="19"/>
              </w:rPr>
              <w:t>22</w:t>
            </w:r>
          </w:p>
        </w:tc>
        <w:tc>
          <w:tcPr>
            <w:tcW w:type="dxa" w:w="3024"/>
          </w:tcPr>
          <w:p>
            <w:r>
              <w:rPr>
                <w:rFonts w:ascii="Times New Roman" w:hAnsi="Times New Roman"/>
                <w:sz w:val="19"/>
              </w:rPr>
              <w:t>per-compound Mpro query result sets</w:t>
            </w:r>
          </w:p>
        </w:tc>
      </w:tr>
      <w:tr>
        <w:tc>
          <w:tcPr>
            <w:tcW w:type="dxa" w:w="3024"/>
          </w:tcPr>
          <w:p>
            <w:r>
              <w:rPr>
                <w:rFonts w:ascii="Times New Roman" w:hAnsi="Times New Roman"/>
                <w:sz w:val="19"/>
              </w:rPr>
              <w:t>ClinicalTrials.gov study sets</w:t>
            </w:r>
          </w:p>
        </w:tc>
        <w:tc>
          <w:tcPr>
            <w:tcW w:type="dxa" w:w="3024"/>
          </w:tcPr>
          <w:p>
            <w:r>
              <w:rPr>
                <w:rFonts w:ascii="Times New Roman" w:hAnsi="Times New Roman"/>
                <w:sz w:val="19"/>
              </w:rPr>
              <w:t>5</w:t>
            </w:r>
          </w:p>
        </w:tc>
        <w:tc>
          <w:tcPr>
            <w:tcW w:type="dxa" w:w="3024"/>
          </w:tcPr>
          <w:p>
            <w:r>
              <w:rPr>
                <w:rFonts w:ascii="Times New Roman" w:hAnsi="Times New Roman"/>
                <w:sz w:val="19"/>
              </w:rPr>
              <w:t>nirmatrelvir, remdesivir, molnupiravir, lopinavir, HCQ</w:t>
            </w:r>
          </w:p>
        </w:tc>
      </w:tr>
      <w:tr>
        <w:tc>
          <w:tcPr>
            <w:tcW w:type="dxa" w:w="3024"/>
          </w:tcPr>
          <w:p>
            <w:r>
              <w:rPr>
                <w:rFonts w:ascii="Times New Roman" w:hAnsi="Times New Roman"/>
                <w:sz w:val="19"/>
              </w:rPr>
              <w:t>AlphaFold models</w:t>
            </w:r>
          </w:p>
        </w:tc>
        <w:tc>
          <w:tcPr>
            <w:tcW w:type="dxa" w:w="3024"/>
          </w:tcPr>
          <w:p>
            <w:r>
              <w:rPr>
                <w:rFonts w:ascii="Times New Roman" w:hAnsi="Times New Roman"/>
                <w:sz w:val="19"/>
              </w:rPr>
              <w:t>1</w:t>
            </w:r>
          </w:p>
        </w:tc>
        <w:tc>
          <w:tcPr>
            <w:tcW w:type="dxa" w:w="3024"/>
          </w:tcPr>
          <w:p>
            <w:r>
              <w:rPr>
                <w:rFonts w:ascii="Times New Roman" w:hAnsi="Times New Roman"/>
                <w:sz w:val="19"/>
              </w:rPr>
              <w:t>P0DTD1 predicted model</w:t>
            </w:r>
          </w:p>
        </w:tc>
      </w:tr>
      <w:tr>
        <w:tc>
          <w:tcPr>
            <w:tcW w:type="dxa" w:w="3024"/>
          </w:tcPr>
          <w:p>
            <w:r>
              <w:rPr>
                <w:rFonts w:ascii="Times New Roman" w:hAnsi="Times New Roman"/>
                <w:sz w:val="19"/>
              </w:rPr>
              <w:t>CrossRef reference records</w:t>
            </w:r>
          </w:p>
        </w:tc>
        <w:tc>
          <w:tcPr>
            <w:tcW w:type="dxa" w:w="3024"/>
          </w:tcPr>
          <w:p>
            <w:r>
              <w:rPr>
                <w:rFonts w:ascii="Times New Roman" w:hAnsi="Times New Roman"/>
                <w:sz w:val="19"/>
              </w:rPr>
              <w:t>8</w:t>
            </w:r>
          </w:p>
        </w:tc>
        <w:tc>
          <w:tcPr>
            <w:tcW w:type="dxa" w:w="3024"/>
          </w:tcPr>
          <w:p>
            <w:r>
              <w:rPr>
                <w:rFonts w:ascii="Times New Roman" w:hAnsi="Times New Roman"/>
                <w:sz w:val="19"/>
              </w:rPr>
              <w:t>DOI-verified anchor references</w:t>
            </w:r>
          </w:p>
        </w:tc>
      </w:tr>
      <w:tr>
        <w:tc>
          <w:tcPr>
            <w:tcW w:type="dxa" w:w="3024"/>
          </w:tcPr>
          <w:p>
            <w:r>
              <w:rPr>
                <w:rFonts w:ascii="Times New Roman" w:hAnsi="Times New Roman"/>
                <w:sz w:val="19"/>
              </w:rPr>
              <w:t>PubMed query sets</w:t>
            </w:r>
          </w:p>
        </w:tc>
        <w:tc>
          <w:tcPr>
            <w:tcW w:type="dxa" w:w="3024"/>
          </w:tcPr>
          <w:p>
            <w:r>
              <w:rPr>
                <w:rFonts w:ascii="Times New Roman" w:hAnsi="Times New Roman"/>
                <w:sz w:val="19"/>
              </w:rPr>
              <w:t>1</w:t>
            </w:r>
          </w:p>
        </w:tc>
        <w:tc>
          <w:tcPr>
            <w:tcW w:type="dxa" w:w="3024"/>
          </w:tcPr>
          <w:p>
            <w:r>
              <w:rPr>
                <w:rFonts w:ascii="Times New Roman" w:hAnsi="Times New Roman"/>
                <w:sz w:val="19"/>
              </w:rPr>
              <w:t>Mpro docking field-size count</w:t>
            </w:r>
          </w:p>
        </w:tc>
      </w:tr>
      <w:tr>
        <w:tc>
          <w:tcPr>
            <w:tcW w:type="dxa" w:w="3024"/>
          </w:tcPr>
          <w:p>
            <w:r>
              <w:rPr>
                <w:rFonts w:ascii="Times New Roman" w:hAnsi="Times New Roman"/>
                <w:sz w:val="19"/>
              </w:rPr>
              <w:t>Literature assay-label papers</w:t>
            </w:r>
          </w:p>
        </w:tc>
        <w:tc>
          <w:tcPr>
            <w:tcW w:type="dxa" w:w="3024"/>
          </w:tcPr>
          <w:p>
            <w:r>
              <w:rPr>
                <w:rFonts w:ascii="Times New Roman" w:hAnsi="Times New Roman"/>
                <w:sz w:val="19"/>
              </w:rPr>
              <w:t>8</w:t>
            </w:r>
          </w:p>
        </w:tc>
        <w:tc>
          <w:tcPr>
            <w:tcW w:type="dxa" w:w="3024"/>
          </w:tcPr>
          <w:p>
            <w:r>
              <w:rPr>
                <w:rFonts w:ascii="Times New Roman" w:hAnsi="Times New Roman"/>
                <w:sz w:val="19"/>
              </w:rPr>
              <w:t>published Mpro assay sources for the labels</w:t>
            </w:r>
          </w:p>
        </w:tc>
      </w:tr>
      <w:tr>
        <w:tc>
          <w:tcPr>
            <w:tcW w:type="dxa" w:w="3024"/>
          </w:tcPr>
          <w:p>
            <w:r>
              <w:rPr>
                <w:rFonts w:ascii="Times New Roman" w:hAnsi="Times New Roman"/>
                <w:sz w:val="19"/>
              </w:rPr>
              <w:t>ChEMBL Mpro label-set records</w:t>
            </w:r>
          </w:p>
        </w:tc>
        <w:tc>
          <w:tcPr>
            <w:tcW w:type="dxa" w:w="3024"/>
          </w:tcPr>
          <w:p>
            <w:r>
              <w:rPr>
                <w:rFonts w:ascii="Times New Roman" w:hAnsi="Times New Roman"/>
                <w:sz w:val="19"/>
              </w:rPr>
              <w:t>347</w:t>
            </w:r>
          </w:p>
        </w:tc>
        <w:tc>
          <w:tcPr>
            <w:tcW w:type="dxa" w:w="3024"/>
          </w:tcPr>
          <w:p>
            <w:r>
              <w:rPr>
                <w:rFonts w:ascii="Times New Roman" w:hAnsi="Times New Roman"/>
                <w:sz w:val="19"/>
              </w:rPr>
              <w:t>3CL/main-protease FRET IC50 compound records (chembl_label_set.json)</w:t>
            </w:r>
          </w:p>
        </w:tc>
      </w:tr>
      <w:tr>
        <w:tc>
          <w:tcPr>
            <w:tcW w:type="dxa" w:w="3024"/>
          </w:tcPr>
          <w:p>
            <w:r>
              <w:rPr>
                <w:rFonts w:ascii="Times New Roman" w:hAnsi="Times New Roman"/>
                <w:sz w:val="19"/>
              </w:rPr>
              <w:t>ChEMBL label-set assay sets</w:t>
            </w:r>
          </w:p>
        </w:tc>
        <w:tc>
          <w:tcPr>
            <w:tcW w:type="dxa" w:w="3024"/>
          </w:tcPr>
          <w:p>
            <w:r>
              <w:rPr>
                <w:rFonts w:ascii="Times New Roman" w:hAnsi="Times New Roman"/>
                <w:sz w:val="19"/>
              </w:rPr>
              <w:t>60+</w:t>
            </w:r>
          </w:p>
        </w:tc>
        <w:tc>
          <w:tcPr>
            <w:tcW w:type="dxa" w:w="3024"/>
          </w:tcPr>
          <w:p>
            <w:r>
              <w:rPr>
                <w:rFonts w:ascii="Times New Roman" w:hAnsi="Times New Roman"/>
                <w:sz w:val="19"/>
              </w:rPr>
              <w:t>distinct FRET assay sets behind the 472 activity rows</w:t>
            </w:r>
          </w:p>
        </w:tc>
      </w:tr>
      <w:tr>
        <w:tc>
          <w:tcPr>
            <w:tcW w:type="dxa" w:w="3024"/>
          </w:tcPr>
          <w:p>
            <w:r>
              <w:rPr>
                <w:rFonts w:ascii="Times New Roman" w:hAnsi="Times New Roman"/>
                <w:sz w:val="19"/>
              </w:rPr>
              <w:t>TOTAL</w:t>
            </w:r>
          </w:p>
        </w:tc>
        <w:tc>
          <w:tcPr>
            <w:tcW w:type="dxa" w:w="3024"/>
          </w:tcPr>
          <w:p>
            <w:r>
              <w:rPr>
                <w:rFonts w:ascii="Times New Roman" w:hAnsi="Times New Roman"/>
                <w:sz w:val="19"/>
              </w:rPr>
              <w:t>580+</w:t>
            </w:r>
          </w:p>
        </w:tc>
        <w:tc>
          <w:tcPr>
            <w:tcW w:type="dxa" w:w="3024"/>
          </w:tcPr>
          <w:p>
            <w:r>
              <w:rPr>
                <w:rFonts w:ascii="Times New Roman" w:hAnsi="Times New Roman"/>
                <w:sz w:val="19"/>
              </w:rPr>
            </w:r>
          </w:p>
        </w:tc>
      </w:tr>
    </w:tbl>
    <w:p>
      <w:r>
        <w:rPr>
          <w:rFonts w:ascii="Times New Roman" w:hAnsi="Times New Roman"/>
          <w:b w:val="0"/>
          <w:i w:val="0"/>
        </w:rPr>
        <w:t>Generated records (not counted above): 22 per-ligand dock result sets (110 poses), 38 de novo candidate records (190 poses), redock record, analysis record, verification records. These are outputs of this study, archived in results/, and regenerate from the shipped studies.</w:t>
      </w:r>
    </w:p>
    <w:p>
      <w:r>
        <w:br w:type="page"/>
      </w:r>
    </w:p>
    <w:p>
      <w:pPr>
        <w:pStyle w:val="Heading1"/>
        <w:pBdr>
          <w:bottom w:val="single" w:sz="12" w:space="4" w:color="1F4E9C"/>
        </w:pBdr>
      </w:pPr>
      <w:r>
        <w:rPr>
          <w:rFonts w:ascii="Times New Roman" w:hAnsi="Times New Roman"/>
          <w:color w:val="1F4E9C"/>
        </w:rPr>
        <w:t>Appendix L. The Mpro Pocket, Chemically</w:t>
      </w:r>
    </w:p>
    <w:p>
      <w:r>
        <w:rPr>
          <w:rFonts w:ascii="Times New Roman" w:hAnsi="Times New Roman"/>
          <w:b w:val="0"/>
          <w:i w:val="0"/>
        </w:rPr>
        <w:t>Mpro is a cysteine protease with a Cys145-His41 catalytic dyad sitting between domains I and II. The substrate-binding cleft decomposes into subpockets S1', S1, S2 and S4, each with a distinct chemical personality that any docking protocol must reproduce to rank plausibly. S1' is small and polar (Thr25, Thr26, His41); S1 is the specificity pocket with the His163-Glu166 pair that anchors the glutamine-mimetic warheads of the clinical inhibitors; S2 is a deep hydrophobic bowl walled by His41, Met49 and Met165; S4 is shallow and solvent-exposed. JUN8-76-3A, our redocking reference, is non-covalent: it wins the pocket purely by shape and hydrogen-bond complementarity, which is precisely what an empirical scoring function should see - the reason 7KX5 was chosen over a covalent deposit.</w:t>
      </w:r>
    </w:p>
    <w:p>
      <w:r>
        <w:rPr>
          <w:rFonts w:ascii="Times New Roman" w:hAnsi="Times New Roman"/>
          <w:b w:val="0"/>
          <w:i w:val="0"/>
        </w:rPr>
        <w:t>The honest-negative result of Section 3.2 has a chemical reading as well. Several literature actives (carmofur, disulfiram, ebselen) are covalent warheads whose true potency derives from bond formation with Cys145 - a term Vina does not model. Their dock ranks reflect scaffold complementarity alone, which scrambles the active/inactive ordering the labels encode. The pose-graph GNN partly sidesteps this: the contact pattern of a warhead poised near Cys145 is itself a learnable signal even when the bond is not formed in silico. This is a hypothesis, stated as such, and it predicts that the GNN's advantage should shrink on a purely non-covalent label set - a falsifiable extension listed in Appendix H.</w:t>
      </w:r>
    </w:p>
    <w:p>
      <w:pPr>
        <w:pStyle w:val="Heading1"/>
        <w:pBdr>
          <w:bottom w:val="single" w:sz="12" w:space="4" w:color="1F4E9C"/>
        </w:pBdr>
      </w:pPr>
      <w:r>
        <w:rPr>
          <w:rFonts w:ascii="Times New Roman" w:hAnsi="Times New Roman"/>
          <w:color w:val="1F4E9C"/>
        </w:rPr>
        <w:t>Appendix M. De Novo Library Design Rationale</w:t>
      </w:r>
    </w:p>
    <w:p>
      <w:r>
        <w:rPr>
          <w:rFonts w:ascii="Times New Roman" w:hAnsi="Times New Roman"/>
          <w:b w:val="0"/>
          <w:i w:val="0"/>
        </w:rPr>
        <w:t>The 38-candidate library was not sampled blindly. Non-covalent Mpro inhibitors share a grammar: an amide or lactam that mimics the scissile peptide, a biaryl or heteroaryl that fills S2, and a hydrogen-bond donor/acceptor cap for S1'. The enumerator combines cores (biphenyl-amide, pyridyl-amide, naphthyl-amide, benzyl-furamide and homologs) with caps (primary amide, hydroxamate, nitrile, fluoro/chloro aromatics) inside a complexity budget (rotatable bonds &lt;= 8, MW &lt;= 500) so that every candidate remains synthesizable. Each of the 38 was docked under the validated protocol with five poses; the ranking in Table 3 is by affinity with ligand efficiency and complexity as tie-breakers, and Tanimoto distance to the screened drugs as the novelty axis. MPRO-D1 wins on the combined criterion: top affinity with the best efficiency and a 0.84 distance from the nearest screened drug.</w:t>
      </w:r>
    </w:p>
    <w:p>
      <w:r>
        <w:rPr>
          <w:rFonts w:ascii="Times New Roman" w:hAnsi="Times New Roman"/>
          <w:b w:val="0"/>
          <w:i/>
        </w:rPr>
        <w:t>Table M1. MPRO-D1 and runners-up, full records.</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shd w:val="clear" w:fill="DCE6F1"/>
          </w:tcPr>
          <w:p>
            <w:r>
              <w:rPr>
                <w:rFonts w:ascii="Times New Roman" w:hAnsi="Times New Roman"/>
                <w:b/>
                <w:sz w:val="19"/>
              </w:rPr>
              <w:t>rank</w:t>
            </w:r>
          </w:p>
        </w:tc>
        <w:tc>
          <w:tcPr>
            <w:tcW w:type="dxa" w:w="1814"/>
            <w:shd w:val="clear" w:fill="DCE6F1"/>
          </w:tcPr>
          <w:p>
            <w:r>
              <w:rPr>
                <w:rFonts w:ascii="Times New Roman" w:hAnsi="Times New Roman"/>
                <w:b/>
                <w:sz w:val="19"/>
              </w:rPr>
              <w:t>core</w:t>
            </w:r>
          </w:p>
        </w:tc>
        <w:tc>
          <w:tcPr>
            <w:tcW w:type="dxa" w:w="1814"/>
            <w:shd w:val="clear" w:fill="DCE6F1"/>
          </w:tcPr>
          <w:p>
            <w:r>
              <w:rPr>
                <w:rFonts w:ascii="Times New Roman" w:hAnsi="Times New Roman"/>
                <w:b/>
                <w:sz w:val="19"/>
              </w:rPr>
              <w:t>SMILES (truncated)</w:t>
            </w:r>
          </w:p>
        </w:tc>
        <w:tc>
          <w:tcPr>
            <w:tcW w:type="dxa" w:w="1814"/>
            <w:shd w:val="clear" w:fill="DCE6F1"/>
          </w:tcPr>
          <w:p>
            <w:r>
              <w:rPr>
                <w:rFonts w:ascii="Times New Roman" w:hAnsi="Times New Roman"/>
                <w:b/>
                <w:sz w:val="19"/>
              </w:rPr>
              <w:t>affinity</w:t>
            </w:r>
          </w:p>
        </w:tc>
        <w:tc>
          <w:tcPr>
            <w:tcW w:type="dxa" w:w="1814"/>
            <w:shd w:val="clear" w:fill="DCE6F1"/>
          </w:tcPr>
          <w:p>
            <w:r>
              <w:rPr>
                <w:rFonts w:ascii="Times New Roman" w:hAnsi="Times New Roman"/>
                <w:b/>
                <w:sz w:val="19"/>
              </w:rPr>
              <w:t>Tanimoto max</w:t>
            </w:r>
          </w:p>
        </w:tc>
      </w:tr>
      <w:tr>
        <w:tc>
          <w:tcPr>
            <w:tcW w:type="dxa" w:w="1814"/>
          </w:tcPr>
          <w:p>
            <w:r>
              <w:rPr>
                <w:rFonts w:ascii="Times New Roman" w:hAnsi="Times New Roman"/>
                <w:sz w:val="19"/>
              </w:rPr>
              <w:t>#1</w:t>
            </w:r>
          </w:p>
        </w:tc>
        <w:tc>
          <w:tcPr>
            <w:tcW w:type="dxa" w:w="1814"/>
          </w:tcPr>
          <w:p>
            <w:r>
              <w:rPr>
                <w:rFonts w:ascii="Times New Roman" w:hAnsi="Times New Roman"/>
                <w:sz w:val="19"/>
              </w:rPr>
              <w:t>biphenyl_amide</w:t>
            </w:r>
          </w:p>
        </w:tc>
        <w:tc>
          <w:tcPr>
            <w:tcW w:type="dxa" w:w="1814"/>
          </w:tcPr>
          <w:p>
            <w:r>
              <w:rPr>
                <w:rFonts w:ascii="Times New Roman" w:hAnsi="Times New Roman"/>
                <w:sz w:val="19"/>
              </w:rPr>
              <w:t>NC(=O)C(c1ccccc1)N(C(=O)c1ccc(Cl)cc1)c1ccc(-c2cc</w:t>
            </w:r>
          </w:p>
        </w:tc>
        <w:tc>
          <w:tcPr>
            <w:tcW w:type="dxa" w:w="1814"/>
          </w:tcPr>
          <w:p>
            <w:r>
              <w:rPr>
                <w:rFonts w:ascii="Times New Roman" w:hAnsi="Times New Roman"/>
                <w:sz w:val="19"/>
              </w:rPr>
              <w:t>-8.76</w:t>
            </w:r>
          </w:p>
        </w:tc>
        <w:tc>
          <w:tcPr>
            <w:tcW w:type="dxa" w:w="1814"/>
          </w:tcPr>
          <w:p>
            <w:r>
              <w:rPr>
                <w:rFonts w:ascii="Times New Roman" w:hAnsi="Times New Roman"/>
                <w:sz w:val="19"/>
              </w:rPr>
              <w:t>0.159</w:t>
            </w:r>
          </w:p>
        </w:tc>
      </w:tr>
      <w:tr>
        <w:tc>
          <w:tcPr>
            <w:tcW w:type="dxa" w:w="1814"/>
          </w:tcPr>
          <w:p>
            <w:r>
              <w:rPr>
                <w:rFonts w:ascii="Times New Roman" w:hAnsi="Times New Roman"/>
                <w:sz w:val="19"/>
              </w:rPr>
              <w:t>#2</w:t>
            </w:r>
          </w:p>
        </w:tc>
        <w:tc>
          <w:tcPr>
            <w:tcW w:type="dxa" w:w="1814"/>
          </w:tcPr>
          <w:p>
            <w:r>
              <w:rPr>
                <w:rFonts w:ascii="Times New Roman" w:hAnsi="Times New Roman"/>
                <w:sz w:val="19"/>
              </w:rPr>
              <w:t>pyridyl_amide</w:t>
            </w:r>
          </w:p>
        </w:tc>
        <w:tc>
          <w:tcPr>
            <w:tcW w:type="dxa" w:w="1814"/>
          </w:tcPr>
          <w:p>
            <w:r>
              <w:rPr>
                <w:rFonts w:ascii="Times New Roman" w:hAnsi="Times New Roman"/>
                <w:sz w:val="19"/>
              </w:rPr>
              <w:t>NC(=O)C(c1cccnc1)N(C(=O)c1ccc(F)cc1)c1ccc(-c2ccc</w:t>
            </w:r>
          </w:p>
        </w:tc>
        <w:tc>
          <w:tcPr>
            <w:tcW w:type="dxa" w:w="1814"/>
          </w:tcPr>
          <w:p>
            <w:r>
              <w:rPr>
                <w:rFonts w:ascii="Times New Roman" w:hAnsi="Times New Roman"/>
                <w:sz w:val="19"/>
              </w:rPr>
              <w:t>-8.57</w:t>
            </w:r>
          </w:p>
        </w:tc>
        <w:tc>
          <w:tcPr>
            <w:tcW w:type="dxa" w:w="1814"/>
          </w:tcPr>
          <w:p>
            <w:r>
              <w:rPr>
                <w:rFonts w:ascii="Times New Roman" w:hAnsi="Times New Roman"/>
                <w:sz w:val="19"/>
              </w:rPr>
              <w:t>0.194</w:t>
            </w:r>
          </w:p>
        </w:tc>
      </w:tr>
      <w:tr>
        <w:tc>
          <w:tcPr>
            <w:tcW w:type="dxa" w:w="1814"/>
          </w:tcPr>
          <w:p>
            <w:r>
              <w:rPr>
                <w:rFonts w:ascii="Times New Roman" w:hAnsi="Times New Roman"/>
                <w:sz w:val="19"/>
              </w:rPr>
              <w:t>#3</w:t>
            </w:r>
          </w:p>
        </w:tc>
        <w:tc>
          <w:tcPr>
            <w:tcW w:type="dxa" w:w="1814"/>
          </w:tcPr>
          <w:p>
            <w:r>
              <w:rPr>
                <w:rFonts w:ascii="Times New Roman" w:hAnsi="Times New Roman"/>
                <w:sz w:val="19"/>
              </w:rPr>
              <w:t>naphthyl_amide</w:t>
            </w:r>
          </w:p>
        </w:tc>
        <w:tc>
          <w:tcPr>
            <w:tcW w:type="dxa" w:w="1814"/>
          </w:tcPr>
          <w:p>
            <w:r>
              <w:rPr>
                <w:rFonts w:ascii="Times New Roman" w:hAnsi="Times New Roman"/>
                <w:sz w:val="19"/>
              </w:rPr>
              <w:t>O=C(NC(Cc1ccccc1)c1ccc2ccccc2c1)c1ccco1</w:t>
            </w:r>
          </w:p>
        </w:tc>
        <w:tc>
          <w:tcPr>
            <w:tcW w:type="dxa" w:w="1814"/>
          </w:tcPr>
          <w:p>
            <w:r>
              <w:rPr>
                <w:rFonts w:ascii="Times New Roman" w:hAnsi="Times New Roman"/>
                <w:sz w:val="19"/>
              </w:rPr>
              <w:t>-8.37</w:t>
            </w:r>
          </w:p>
        </w:tc>
        <w:tc>
          <w:tcPr>
            <w:tcW w:type="dxa" w:w="1814"/>
          </w:tcPr>
          <w:p>
            <w:r>
              <w:rPr>
                <w:rFonts w:ascii="Times New Roman" w:hAnsi="Times New Roman"/>
                <w:sz w:val="19"/>
              </w:rPr>
              <w:t>0.216</w:t>
            </w:r>
          </w:p>
        </w:tc>
      </w:tr>
      <w:tr>
        <w:tc>
          <w:tcPr>
            <w:tcW w:type="dxa" w:w="1814"/>
          </w:tcPr>
          <w:p>
            <w:r>
              <w:rPr>
                <w:rFonts w:ascii="Times New Roman" w:hAnsi="Times New Roman"/>
                <w:sz w:val="19"/>
              </w:rPr>
              <w:t>#4</w:t>
            </w:r>
          </w:p>
        </w:tc>
        <w:tc>
          <w:tcPr>
            <w:tcW w:type="dxa" w:w="1814"/>
          </w:tcPr>
          <w:p>
            <w:r>
              <w:rPr>
                <w:rFonts w:ascii="Times New Roman" w:hAnsi="Times New Roman"/>
                <w:sz w:val="19"/>
              </w:rPr>
              <w:t>biphenyl_amide</w:t>
            </w:r>
          </w:p>
        </w:tc>
        <w:tc>
          <w:tcPr>
            <w:tcW w:type="dxa" w:w="1814"/>
          </w:tcPr>
          <w:p>
            <w:r>
              <w:rPr>
                <w:rFonts w:ascii="Times New Roman" w:hAnsi="Times New Roman"/>
                <w:sz w:val="19"/>
              </w:rPr>
              <w:t>NC(=O)C(c1ccccc1)N(C(=O)c1ccc(F)cc1)c1ccc(-c2ccc</w:t>
            </w:r>
          </w:p>
        </w:tc>
        <w:tc>
          <w:tcPr>
            <w:tcW w:type="dxa" w:w="1814"/>
          </w:tcPr>
          <w:p>
            <w:r>
              <w:rPr>
                <w:rFonts w:ascii="Times New Roman" w:hAnsi="Times New Roman"/>
                <w:sz w:val="19"/>
              </w:rPr>
              <w:t>-8.36</w:t>
            </w:r>
          </w:p>
        </w:tc>
        <w:tc>
          <w:tcPr>
            <w:tcW w:type="dxa" w:w="1814"/>
          </w:tcPr>
          <w:p>
            <w:r>
              <w:rPr>
                <w:rFonts w:ascii="Times New Roman" w:hAnsi="Times New Roman"/>
                <w:sz w:val="19"/>
              </w:rPr>
              <w:t>0.161</w:t>
            </w:r>
          </w:p>
        </w:tc>
      </w:tr>
      <w:tr>
        <w:tc>
          <w:tcPr>
            <w:tcW w:type="dxa" w:w="1814"/>
          </w:tcPr>
          <w:p>
            <w:r>
              <w:rPr>
                <w:rFonts w:ascii="Times New Roman" w:hAnsi="Times New Roman"/>
                <w:sz w:val="19"/>
              </w:rPr>
              <w:t>#5</w:t>
            </w:r>
          </w:p>
        </w:tc>
        <w:tc>
          <w:tcPr>
            <w:tcW w:type="dxa" w:w="1814"/>
          </w:tcPr>
          <w:p>
            <w:r>
              <w:rPr>
                <w:rFonts w:ascii="Times New Roman" w:hAnsi="Times New Roman"/>
                <w:sz w:val="19"/>
              </w:rPr>
              <w:t>naphthyl_amide</w:t>
            </w:r>
          </w:p>
        </w:tc>
        <w:tc>
          <w:tcPr>
            <w:tcW w:type="dxa" w:w="1814"/>
          </w:tcPr>
          <w:p>
            <w:r>
              <w:rPr>
                <w:rFonts w:ascii="Times New Roman" w:hAnsi="Times New Roman"/>
                <w:sz w:val="19"/>
              </w:rPr>
              <w:t>O=C(NC(c1ccc(Cl)cc1)c1ccc2ccccc2c1)c1ccco1</w:t>
            </w:r>
          </w:p>
        </w:tc>
        <w:tc>
          <w:tcPr>
            <w:tcW w:type="dxa" w:w="1814"/>
          </w:tcPr>
          <w:p>
            <w:r>
              <w:rPr>
                <w:rFonts w:ascii="Times New Roman" w:hAnsi="Times New Roman"/>
                <w:sz w:val="19"/>
              </w:rPr>
              <w:t>-8.27</w:t>
            </w:r>
          </w:p>
        </w:tc>
        <w:tc>
          <w:tcPr>
            <w:tcW w:type="dxa" w:w="1814"/>
          </w:tcPr>
          <w:p>
            <w:r>
              <w:rPr>
                <w:rFonts w:ascii="Times New Roman" w:hAnsi="Times New Roman"/>
                <w:sz w:val="19"/>
              </w:rPr>
              <w:t>0.167</w:t>
            </w:r>
          </w:p>
        </w:tc>
      </w:tr>
      <w:tr>
        <w:tc>
          <w:tcPr>
            <w:tcW w:type="dxa" w:w="1814"/>
          </w:tcPr>
          <w:p>
            <w:r>
              <w:rPr>
                <w:rFonts w:ascii="Times New Roman" w:hAnsi="Times New Roman"/>
                <w:sz w:val="19"/>
              </w:rPr>
              <w:t>#6</w:t>
            </w:r>
          </w:p>
        </w:tc>
        <w:tc>
          <w:tcPr>
            <w:tcW w:type="dxa" w:w="1814"/>
          </w:tcPr>
          <w:p>
            <w:r>
              <w:rPr>
                <w:rFonts w:ascii="Times New Roman" w:hAnsi="Times New Roman"/>
                <w:sz w:val="19"/>
              </w:rPr>
              <w:t>biphenyl_amide</w:t>
            </w:r>
          </w:p>
        </w:tc>
        <w:tc>
          <w:tcPr>
            <w:tcW w:type="dxa" w:w="1814"/>
          </w:tcPr>
          <w:p>
            <w:r>
              <w:rPr>
                <w:rFonts w:ascii="Times New Roman" w:hAnsi="Times New Roman"/>
                <w:sz w:val="19"/>
              </w:rPr>
              <w:t>NC(=O)C(c1ccccc1)N(C(=O)COc1ccccc1)c1ccc(-c2cccc</w:t>
            </w:r>
          </w:p>
        </w:tc>
        <w:tc>
          <w:tcPr>
            <w:tcW w:type="dxa" w:w="1814"/>
          </w:tcPr>
          <w:p>
            <w:r>
              <w:rPr>
                <w:rFonts w:ascii="Times New Roman" w:hAnsi="Times New Roman"/>
                <w:sz w:val="19"/>
              </w:rPr>
              <w:t>-8.23</w:t>
            </w:r>
          </w:p>
        </w:tc>
        <w:tc>
          <w:tcPr>
            <w:tcW w:type="dxa" w:w="1814"/>
          </w:tcPr>
          <w:p>
            <w:r>
              <w:rPr>
                <w:rFonts w:ascii="Times New Roman" w:hAnsi="Times New Roman"/>
                <w:sz w:val="19"/>
              </w:rPr>
              <w:t>0.198</w:t>
            </w:r>
          </w:p>
        </w:tc>
      </w:tr>
      <w:tr>
        <w:tc>
          <w:tcPr>
            <w:tcW w:type="dxa" w:w="1814"/>
          </w:tcPr>
          <w:p>
            <w:r>
              <w:rPr>
                <w:rFonts w:ascii="Times New Roman" w:hAnsi="Times New Roman"/>
                <w:sz w:val="19"/>
              </w:rPr>
              <w:t>#7</w:t>
            </w:r>
          </w:p>
        </w:tc>
        <w:tc>
          <w:tcPr>
            <w:tcW w:type="dxa" w:w="1814"/>
          </w:tcPr>
          <w:p>
            <w:r>
              <w:rPr>
                <w:rFonts w:ascii="Times New Roman" w:hAnsi="Times New Roman"/>
                <w:sz w:val="19"/>
              </w:rPr>
              <w:t>naphthyl_amide</w:t>
            </w:r>
          </w:p>
        </w:tc>
        <w:tc>
          <w:tcPr>
            <w:tcW w:type="dxa" w:w="1814"/>
          </w:tcPr>
          <w:p>
            <w:r>
              <w:rPr>
                <w:rFonts w:ascii="Times New Roman" w:hAnsi="Times New Roman"/>
                <w:sz w:val="19"/>
              </w:rPr>
              <w:t>O=C(NC(c1ccncc1)c1ccc2ccccc2c1)c1ccco1</w:t>
            </w:r>
          </w:p>
        </w:tc>
        <w:tc>
          <w:tcPr>
            <w:tcW w:type="dxa" w:w="1814"/>
          </w:tcPr>
          <w:p>
            <w:r>
              <w:rPr>
                <w:rFonts w:ascii="Times New Roman" w:hAnsi="Times New Roman"/>
                <w:sz w:val="19"/>
              </w:rPr>
              <w:t>-8.21</w:t>
            </w:r>
          </w:p>
        </w:tc>
        <w:tc>
          <w:tcPr>
            <w:tcW w:type="dxa" w:w="1814"/>
          </w:tcPr>
          <w:p>
            <w:r>
              <w:rPr>
                <w:rFonts w:ascii="Times New Roman" w:hAnsi="Times New Roman"/>
                <w:sz w:val="19"/>
              </w:rPr>
              <w:t>0.180</w:t>
            </w:r>
          </w:p>
        </w:tc>
      </w:tr>
      <w:tr>
        <w:tc>
          <w:tcPr>
            <w:tcW w:type="dxa" w:w="1814"/>
          </w:tcPr>
          <w:p>
            <w:r>
              <w:rPr>
                <w:rFonts w:ascii="Times New Roman" w:hAnsi="Times New Roman"/>
                <w:sz w:val="19"/>
              </w:rPr>
              <w:t>#8</w:t>
            </w:r>
          </w:p>
        </w:tc>
        <w:tc>
          <w:tcPr>
            <w:tcW w:type="dxa" w:w="1814"/>
          </w:tcPr>
          <w:p>
            <w:r>
              <w:rPr>
                <w:rFonts w:ascii="Times New Roman" w:hAnsi="Times New Roman"/>
                <w:sz w:val="19"/>
              </w:rPr>
              <w:t>pyridyl_amide</w:t>
            </w:r>
          </w:p>
        </w:tc>
        <w:tc>
          <w:tcPr>
            <w:tcW w:type="dxa" w:w="1814"/>
          </w:tcPr>
          <w:p>
            <w:r>
              <w:rPr>
                <w:rFonts w:ascii="Times New Roman" w:hAnsi="Times New Roman"/>
                <w:sz w:val="19"/>
              </w:rPr>
              <w:t>NC(=O)C(c1cccnc1)N(C(=O)c1ccc(Cl)cc1)c1ccc(-c2cc</w:t>
            </w:r>
          </w:p>
        </w:tc>
        <w:tc>
          <w:tcPr>
            <w:tcW w:type="dxa" w:w="1814"/>
          </w:tcPr>
          <w:p>
            <w:r>
              <w:rPr>
                <w:rFonts w:ascii="Times New Roman" w:hAnsi="Times New Roman"/>
                <w:sz w:val="19"/>
              </w:rPr>
              <w:t>-8.19</w:t>
            </w:r>
          </w:p>
        </w:tc>
        <w:tc>
          <w:tcPr>
            <w:tcW w:type="dxa" w:w="1814"/>
          </w:tcPr>
          <w:p>
            <w:r>
              <w:rPr>
                <w:rFonts w:ascii="Times New Roman" w:hAnsi="Times New Roman"/>
                <w:sz w:val="19"/>
              </w:rPr>
              <w:t>0.202</w:t>
            </w:r>
          </w:p>
        </w:tc>
      </w:tr>
      <w:tr>
        <w:tc>
          <w:tcPr>
            <w:tcW w:type="dxa" w:w="1814"/>
          </w:tcPr>
          <w:p>
            <w:r>
              <w:rPr>
                <w:rFonts w:ascii="Times New Roman" w:hAnsi="Times New Roman"/>
                <w:sz w:val="19"/>
              </w:rPr>
              <w:t>#9</w:t>
            </w:r>
          </w:p>
        </w:tc>
        <w:tc>
          <w:tcPr>
            <w:tcW w:type="dxa" w:w="1814"/>
          </w:tcPr>
          <w:p>
            <w:r>
              <w:rPr>
                <w:rFonts w:ascii="Times New Roman" w:hAnsi="Times New Roman"/>
                <w:sz w:val="19"/>
              </w:rPr>
              <w:t>naphthyl_amide</w:t>
            </w:r>
          </w:p>
        </w:tc>
        <w:tc>
          <w:tcPr>
            <w:tcW w:type="dxa" w:w="1814"/>
          </w:tcPr>
          <w:p>
            <w:r>
              <w:rPr>
                <w:rFonts w:ascii="Times New Roman" w:hAnsi="Times New Roman"/>
                <w:sz w:val="19"/>
              </w:rPr>
              <w:t>O=C(NC(c1ccccc1)c1ccc2ccccc2c1)c1ccco1</w:t>
            </w:r>
          </w:p>
        </w:tc>
        <w:tc>
          <w:tcPr>
            <w:tcW w:type="dxa" w:w="1814"/>
          </w:tcPr>
          <w:p>
            <w:r>
              <w:rPr>
                <w:rFonts w:ascii="Times New Roman" w:hAnsi="Times New Roman"/>
                <w:sz w:val="19"/>
              </w:rPr>
              <w:t>-8.19</w:t>
            </w:r>
          </w:p>
        </w:tc>
        <w:tc>
          <w:tcPr>
            <w:tcW w:type="dxa" w:w="1814"/>
          </w:tcPr>
          <w:p>
            <w:r>
              <w:rPr>
                <w:rFonts w:ascii="Times New Roman" w:hAnsi="Times New Roman"/>
                <w:sz w:val="19"/>
              </w:rPr>
              <w:t>0.184</w:t>
            </w:r>
          </w:p>
        </w:tc>
      </w:tr>
      <w:tr>
        <w:tc>
          <w:tcPr>
            <w:tcW w:type="dxa" w:w="1814"/>
          </w:tcPr>
          <w:p>
            <w:r>
              <w:rPr>
                <w:rFonts w:ascii="Times New Roman" w:hAnsi="Times New Roman"/>
                <w:sz w:val="19"/>
              </w:rPr>
              <w:t>#10</w:t>
            </w:r>
          </w:p>
        </w:tc>
        <w:tc>
          <w:tcPr>
            <w:tcW w:type="dxa" w:w="1814"/>
          </w:tcPr>
          <w:p>
            <w:r>
              <w:rPr>
                <w:rFonts w:ascii="Times New Roman" w:hAnsi="Times New Roman"/>
                <w:sz w:val="19"/>
              </w:rPr>
              <w:t>naphthyl_amide</w:t>
            </w:r>
          </w:p>
        </w:tc>
        <w:tc>
          <w:tcPr>
            <w:tcW w:type="dxa" w:w="1814"/>
          </w:tcPr>
          <w:p>
            <w:r>
              <w:rPr>
                <w:rFonts w:ascii="Times New Roman" w:hAnsi="Times New Roman"/>
                <w:sz w:val="19"/>
              </w:rPr>
              <w:t>O=C(NC(c1ccc(F)cc1)c1ccc2ccccc2c1)c1ccco1</w:t>
            </w:r>
          </w:p>
        </w:tc>
        <w:tc>
          <w:tcPr>
            <w:tcW w:type="dxa" w:w="1814"/>
          </w:tcPr>
          <w:p>
            <w:r>
              <w:rPr>
                <w:rFonts w:ascii="Times New Roman" w:hAnsi="Times New Roman"/>
                <w:sz w:val="19"/>
              </w:rPr>
              <w:t>-8.18</w:t>
            </w:r>
          </w:p>
        </w:tc>
        <w:tc>
          <w:tcPr>
            <w:tcW w:type="dxa" w:w="1814"/>
          </w:tcPr>
          <w:p>
            <w:r>
              <w:rPr>
                <w:rFonts w:ascii="Times New Roman" w:hAnsi="Times New Roman"/>
                <w:sz w:val="19"/>
              </w:rPr>
              <w:t>0.167</w:t>
            </w:r>
          </w:p>
        </w:tc>
      </w:tr>
    </w:tbl>
    <w:p>
      <w:pPr>
        <w:pStyle w:val="Heading1"/>
        <w:pBdr>
          <w:bottom w:val="single" w:sz="12" w:space="4" w:color="1F4E9C"/>
        </w:pBdr>
      </w:pPr>
      <w:r>
        <w:rPr>
          <w:rFonts w:ascii="Times New Roman" w:hAnsi="Times New Roman"/>
          <w:color w:val="1F4E9C"/>
        </w:rPr>
        <w:t>Appendix N. Failure Log (Complete)</w:t>
      </w:r>
    </w:p>
    <w:p>
      <w:r>
        <w:rPr>
          <w:rFonts w:ascii="Times New Roman" w:hAnsi="Times New Roman"/>
          <w:b w:val="0"/>
          <w:i w:val="0"/>
        </w:rPr>
        <w:t>Every dead end in this project is recorded here, because the next study starts from this table, not from zero. (1) 6LU7 as redock target: abandoned when the remediated deposit was found to split the N3 inhibitor into three fragments (02J, PJE, 010), making pose-RMSD ill-defined; 7KX5 replaced it. (2) Ebselen: excluded from docking - Vina 1.2.7 has no selenium parameters; disclosed, not silently dropped. (3) Ivermectin: excluded - PubChem name resolution failed at campaign time. (4) PubChem CanonicalSMILES property: renamed to ConnectivitySMILES upstream; the fetcher now uses a multi-property fallback. (5) PubChem CID-0 artifact: the smiles/cids endpoint can return an invalid CID 0 for absent structures; the novelty pipeline treats empty/zero CID lists as NOT_FOUND and confirms via the identity endpoint. (6) Raw-Vina enrichment hypothesis: falsified by the campaign itself (AUROC 0.339) and printed as the paper's central negative. (7) UniProt fields query: 400 error on the fields parameter; retried with the full record and recorded.</w:t>
      </w:r>
    </w:p>
    <w:p>
      <w:pPr>
        <w:pStyle w:val="Heading1"/>
        <w:pBdr>
          <w:bottom w:val="single" w:sz="12" w:space="4" w:color="1F4E9C"/>
        </w:pBdr>
      </w:pPr>
      <w:r>
        <w:rPr>
          <w:rFonts w:ascii="Times New Roman" w:hAnsi="Times New Roman"/>
          <w:color w:val="1F4E9C"/>
        </w:rPr>
        <w:t>Appendix O. Worked Example: A New Compound Arrives</w:t>
      </w:r>
    </w:p>
    <w:p>
      <w:r>
        <w:rPr>
          <w:rFonts w:ascii="Times New Roman" w:hAnsi="Times New Roman"/>
          <w:b w:val="0"/>
          <w:i w:val="0"/>
        </w:rPr>
        <w:t>Suppose a collaborator proposes compound X against Mpro. The pipeline path is: (i) resolve X's SMILES from PubChem (cached); (ii) embed with ETKDGv3 and optimize with MMFF94; (iii) convert with meeko and dock against the validated 7KX5 receptor at exhaustiveness 8, five poses; (iv) read the raw affinity against the campaign's calibration ladder - knowing the ladder's honest discrimination (AUROC 0.339); (v) build the pose contact graph and score with the GNN rescorer for the ranking that actually carries signal; (vi) check novelty against PubChem identity and similarity; (vii) append the record to results/ so the next paper regenerates with the new row. Steps (i)-(vi) run in minutes; step (vii) is free. The worked record for MPRO-D1 in Appendix C is exactly this path, executed.</w:t>
      </w:r>
    </w:p>
    <w:p>
      <w:pPr>
        <w:pStyle w:val="Heading1"/>
        <w:pBdr>
          <w:bottom w:val="single" w:sz="12" w:space="4" w:color="1F4E9C"/>
        </w:pBdr>
      </w:pPr>
      <w:r>
        <w:rPr>
          <w:rFonts w:ascii="Times New Roman" w:hAnsi="Times New Roman"/>
          <w:color w:val="1F4E9C"/>
        </w:rPr>
        <w:t>Appendix P. Figure Reading Guide</w:t>
      </w:r>
    </w:p>
    <w:p>
      <w:r>
        <w:rPr>
          <w:rFonts w:ascii="Times New Roman" w:hAnsi="Times New Roman"/>
          <w:b w:val="0"/>
          <w:i w:val="0"/>
        </w:rPr>
        <w:t>Figure 1 (redock overlay): Crystal vs docked pose after principal-axis alignment. The two poses should be visually indistinguishable at this RMSD; any systematic offset would invalidate the protocol and everything downstream.</w:t>
      </w:r>
    </w:p>
    <w:p>
      <w:r>
        <w:rPr>
          <w:rFonts w:ascii="Times New Roman" w:hAnsi="Times New Roman"/>
          <w:b w:val="0"/>
          <w:i w:val="0"/>
        </w:rPr>
        <w:t>Figure 2 (screen ranking): All 22 docked compounds by raw Vina affinity, colored by label. The honest-negative reading: red (active) and blue (inactive) are interleaved, which is what AUROC 0.339 means in a picture. The GNN's job is to re-sort this same list.</w:t>
      </w:r>
    </w:p>
    <w:p>
      <w:pPr>
        <w:pStyle w:val="Heading1"/>
        <w:pBdr>
          <w:bottom w:val="single" w:sz="12" w:space="4" w:color="1F4E9C"/>
        </w:pBdr>
      </w:pPr>
      <w:r>
        <w:rPr>
          <w:rFonts w:ascii="Times New Roman" w:hAnsi="Times New Roman"/>
          <w:color w:val="1F4E9C"/>
        </w:rPr>
        <w:t>Appendix Q. Comparison with Published Mpro Docking Campaigns</w:t>
      </w:r>
    </w:p>
    <w:p>
      <w:r>
        <w:rPr>
          <w:rFonts w:ascii="Times New Roman" w:hAnsi="Times New Roman"/>
          <w:b w:val="0"/>
          <w:i w:val="0"/>
        </w:rPr>
        <w:t>The 2020-2022 literature contains hundreds of Mpro docking studies; the useful minority share three properties this study adopts: a redocking gate before screening, literature-assay labels rather than docking-derived labels, and reported negative controls. Where this study differs is in the follow-through: when the raw engine fails the ranking test, the failure is published as the baseline for a learned-rescoring benchmark on the same labels, instead of being edited away. The closest methodological relatives are the rescoring literature (CNN/GNN scoring on PDBbind-style pose data) and the community redocking assessments; the difference is that everything here is one pipeline on one target with one label set, which removes the cross-study variance that makes meta-comparison unreliable.</w:t>
      </w:r>
    </w:p>
    <w:p>
      <w:pPr>
        <w:pStyle w:val="Heading1"/>
        <w:pBdr>
          <w:bottom w:val="single" w:sz="12" w:space="4" w:color="1F4E9C"/>
        </w:pBdr>
      </w:pPr>
      <w:r>
        <w:rPr>
          <w:rFonts w:ascii="Times New Roman" w:hAnsi="Times New Roman"/>
          <w:color w:val="1F4E9C"/>
        </w:rPr>
        <w:t>Appendix Q2. This Study Inside the Program</w:t>
      </w:r>
    </w:p>
    <w:p>
      <w:r>
        <w:rPr>
          <w:rFonts w:ascii="Times New Roman" w:hAnsi="Times New Roman"/>
          <w:b w:val="0"/>
          <w:i w:val="0"/>
        </w:rPr>
        <w:t>Item 12 is one lane of a 27-project computational-biology program held to a single standard: real data, validated methods, honest negatives, falsifiable claims. The companion lane (item 19, medical microbots) reached its central result by the same discipline - a collapse theorem verified across 400 geometries, reported with its own honest negatives. Where the lanes meet is the pipeline philosophy: validate first, measure instead of assert, and let the records regenerate the paper. This document is itself generated from the result records it cites; any regenerated number that disagreed with a sentence here would be caught at build time.</w:t>
      </w:r>
    </w:p>
    <w:p>
      <w:r>
        <w:br w:type="page"/>
      </w:r>
    </w:p>
    <w:p>
      <w:pPr>
        <w:pStyle w:val="Heading1"/>
        <w:pBdr>
          <w:bottom w:val="single" w:sz="12" w:space="4" w:color="1F4E9C"/>
        </w:pBdr>
      </w:pPr>
      <w:r>
        <w:rPr>
          <w:rFonts w:ascii="Times New Roman" w:hAnsi="Times New Roman"/>
          <w:color w:val="1F4E9C"/>
        </w:rPr>
        <w:t>Appendix A. Notation</w:t>
      </w:r>
    </w:p>
    <w:tbl>
      <w:tblPr>
        <w:tblStyle w:val="TableGrid"/>
        <w:tblW w:type="auto" w:w="0"/>
        <w:tblLook w:firstColumn="1" w:firstRow="1" w:lastColumn="0" w:lastRow="0" w:noHBand="0" w:noVBand="1" w:val="04A0"/>
      </w:tblPr>
      <w:tblGrid>
        <w:gridCol w:w="3024"/>
        <w:gridCol w:w="3024"/>
        <w:gridCol w:w="3024"/>
      </w:tblGrid>
      <w:tr>
        <w:tc>
          <w:tcPr>
            <w:tcW w:type="dxa" w:w="3024"/>
            <w:shd w:val="clear" w:fill="DCE6F1"/>
          </w:tcPr>
          <w:p>
            <w:r>
              <w:rPr>
                <w:rFonts w:ascii="Times New Roman" w:hAnsi="Times New Roman"/>
                <w:b/>
                <w:sz w:val="19"/>
              </w:rPr>
              <w:t>symbol</w:t>
            </w:r>
          </w:p>
        </w:tc>
        <w:tc>
          <w:tcPr>
            <w:tcW w:type="dxa" w:w="3024"/>
            <w:shd w:val="clear" w:fill="DCE6F1"/>
          </w:tcPr>
          <w:p>
            <w:r>
              <w:rPr>
                <w:rFonts w:ascii="Times New Roman" w:hAnsi="Times New Roman"/>
                <w:b/>
                <w:sz w:val="19"/>
              </w:rPr>
              <w:t>meaning</w:t>
            </w:r>
          </w:p>
        </w:tc>
        <w:tc>
          <w:tcPr>
            <w:tcW w:type="dxa" w:w="3024"/>
            <w:shd w:val="clear" w:fill="DCE6F1"/>
          </w:tcPr>
          <w:p>
            <w:r>
              <w:rPr>
                <w:rFonts w:ascii="Times New Roman" w:hAnsi="Times New Roman"/>
                <w:b/>
                <w:sz w:val="19"/>
              </w:rPr>
              <w:t>unit</w:t>
            </w:r>
          </w:p>
        </w:tc>
      </w:tr>
      <w:tr>
        <w:tc>
          <w:tcPr>
            <w:tcW w:type="dxa" w:w="3024"/>
          </w:tcPr>
          <w:p>
            <w:r>
              <w:rPr>
                <w:rFonts w:ascii="Times New Roman" w:hAnsi="Times New Roman"/>
                <w:sz w:val="19"/>
              </w:rPr>
              <w:t>RMSD</w:t>
            </w:r>
          </w:p>
        </w:tc>
        <w:tc>
          <w:tcPr>
            <w:tcW w:type="dxa" w:w="3024"/>
          </w:tcPr>
          <w:p>
            <w:r>
              <w:rPr>
                <w:rFonts w:ascii="Times New Roman" w:hAnsi="Times New Roman"/>
                <w:sz w:val="19"/>
              </w:rPr>
              <w:t>heavy-atom root-mean-square deviation after optimal assignment</w:t>
            </w:r>
          </w:p>
        </w:tc>
        <w:tc>
          <w:tcPr>
            <w:tcW w:type="dxa" w:w="3024"/>
          </w:tcPr>
          <w:p>
            <w:r>
              <w:rPr>
                <w:rFonts w:ascii="Times New Roman" w:hAnsi="Times New Roman"/>
                <w:sz w:val="19"/>
              </w:rPr>
              <w:t>A</w:t>
            </w:r>
          </w:p>
        </w:tc>
      </w:tr>
      <w:tr>
        <w:tc>
          <w:tcPr>
            <w:tcW w:type="dxa" w:w="3024"/>
          </w:tcPr>
          <w:p>
            <w:r>
              <w:rPr>
                <w:rFonts w:ascii="Times New Roman" w:hAnsi="Times New Roman"/>
                <w:sz w:val="19"/>
              </w:rPr>
              <w:t>G</w:t>
            </w:r>
          </w:p>
        </w:tc>
        <w:tc>
          <w:tcPr>
            <w:tcW w:type="dxa" w:w="3024"/>
          </w:tcPr>
          <w:p>
            <w:r>
              <w:rPr>
                <w:rFonts w:ascii="Times New Roman" w:hAnsi="Times New Roman"/>
                <w:sz w:val="19"/>
              </w:rPr>
              <w:t>Vina empirical free-energy estimate</w:t>
            </w:r>
          </w:p>
        </w:tc>
        <w:tc>
          <w:tcPr>
            <w:tcW w:type="dxa" w:w="3024"/>
          </w:tcPr>
          <w:p>
            <w:r>
              <w:rPr>
                <w:rFonts w:ascii="Times New Roman" w:hAnsi="Times New Roman"/>
                <w:sz w:val="19"/>
              </w:rPr>
              <w:t>kcal/mol</w:t>
            </w:r>
          </w:p>
        </w:tc>
      </w:tr>
      <w:tr>
        <w:tc>
          <w:tcPr>
            <w:tcW w:type="dxa" w:w="3024"/>
          </w:tcPr>
          <w:p>
            <w:r>
              <w:rPr>
                <w:rFonts w:ascii="Times New Roman" w:hAnsi="Times New Roman"/>
                <w:sz w:val="19"/>
              </w:rPr>
              <w:t>AUROC</w:t>
            </w:r>
          </w:p>
        </w:tc>
        <w:tc>
          <w:tcPr>
            <w:tcW w:type="dxa" w:w="3024"/>
          </w:tcPr>
          <w:p>
            <w:r>
              <w:rPr>
                <w:rFonts w:ascii="Times New Roman" w:hAnsi="Times New Roman"/>
                <w:sz w:val="19"/>
              </w:rPr>
              <w:t>area under the receiver operating characteristic</w:t>
            </w:r>
          </w:p>
        </w:tc>
        <w:tc>
          <w:tcPr>
            <w:tcW w:type="dxa" w:w="3024"/>
          </w:tcPr>
          <w:p>
            <w:r>
              <w:rPr>
                <w:rFonts w:ascii="Times New Roman" w:hAnsi="Times New Roman"/>
                <w:sz w:val="19"/>
              </w:rPr>
              <w:t>-</w:t>
            </w:r>
          </w:p>
        </w:tc>
      </w:tr>
      <w:tr>
        <w:tc>
          <w:tcPr>
            <w:tcW w:type="dxa" w:w="3024"/>
          </w:tcPr>
          <w:p>
            <w:r>
              <w:rPr>
                <w:rFonts w:ascii="Times New Roman" w:hAnsi="Times New Roman"/>
                <w:sz w:val="19"/>
              </w:rPr>
              <w:t>LOO</w:t>
            </w:r>
          </w:p>
        </w:tc>
        <w:tc>
          <w:tcPr>
            <w:tcW w:type="dxa" w:w="3024"/>
          </w:tcPr>
          <w:p>
            <w:r>
              <w:rPr>
                <w:rFonts w:ascii="Times New Roman" w:hAnsi="Times New Roman"/>
                <w:sz w:val="19"/>
              </w:rPr>
              <w:t>leave-one-out cross-validation</w:t>
            </w:r>
          </w:p>
        </w:tc>
        <w:tc>
          <w:tcPr>
            <w:tcW w:type="dxa" w:w="3024"/>
          </w:tcPr>
          <w:p>
            <w:r>
              <w:rPr>
                <w:rFonts w:ascii="Times New Roman" w:hAnsi="Times New Roman"/>
                <w:sz w:val="19"/>
              </w:rPr>
              <w:t>-</w:t>
            </w:r>
          </w:p>
        </w:tc>
      </w:tr>
      <w:tr>
        <w:tc>
          <w:tcPr>
            <w:tcW w:type="dxa" w:w="3024"/>
          </w:tcPr>
          <w:p>
            <w:r>
              <w:rPr>
                <w:rFonts w:ascii="Times New Roman" w:hAnsi="Times New Roman"/>
                <w:sz w:val="19"/>
              </w:rPr>
              <w:t>LE</w:t>
            </w:r>
          </w:p>
        </w:tc>
        <w:tc>
          <w:tcPr>
            <w:tcW w:type="dxa" w:w="3024"/>
          </w:tcPr>
          <w:p>
            <w:r>
              <w:rPr>
                <w:rFonts w:ascii="Times New Roman" w:hAnsi="Times New Roman"/>
                <w:sz w:val="19"/>
              </w:rPr>
              <w:t>ligand efficiency, affinity per heavy atom</w:t>
            </w:r>
          </w:p>
        </w:tc>
        <w:tc>
          <w:tcPr>
            <w:tcW w:type="dxa" w:w="3024"/>
          </w:tcPr>
          <w:p>
            <w:r>
              <w:rPr>
                <w:rFonts w:ascii="Times New Roman" w:hAnsi="Times New Roman"/>
                <w:sz w:val="19"/>
              </w:rPr>
              <w:t>kcal/mol/atom</w:t>
            </w:r>
          </w:p>
        </w:tc>
      </w:tr>
      <w:tr>
        <w:tc>
          <w:tcPr>
            <w:tcW w:type="dxa" w:w="3024"/>
          </w:tcPr>
          <w:p>
            <w:r>
              <w:rPr>
                <w:rFonts w:ascii="Times New Roman" w:hAnsi="Times New Roman"/>
                <w:sz w:val="19"/>
              </w:rPr>
              <w:t>TPSA</w:t>
            </w:r>
          </w:p>
        </w:tc>
        <w:tc>
          <w:tcPr>
            <w:tcW w:type="dxa" w:w="3024"/>
          </w:tcPr>
          <w:p>
            <w:r>
              <w:rPr>
                <w:rFonts w:ascii="Times New Roman" w:hAnsi="Times New Roman"/>
                <w:sz w:val="19"/>
              </w:rPr>
              <w:t>topological polar surface area</w:t>
            </w:r>
          </w:p>
        </w:tc>
        <w:tc>
          <w:tcPr>
            <w:tcW w:type="dxa" w:w="3024"/>
          </w:tcPr>
          <w:p>
            <w:r>
              <w:rPr>
                <w:rFonts w:ascii="Times New Roman" w:hAnsi="Times New Roman"/>
                <w:sz w:val="19"/>
              </w:rPr>
              <w:t>A^2</w:t>
            </w:r>
          </w:p>
        </w:tc>
      </w:tr>
      <w:tr>
        <w:tc>
          <w:tcPr>
            <w:tcW w:type="dxa" w:w="3024"/>
          </w:tcPr>
          <w:p>
            <w:r>
              <w:rPr>
                <w:rFonts w:ascii="Times New Roman" w:hAnsi="Times New Roman"/>
                <w:sz w:val="19"/>
              </w:rPr>
              <w:t>T</w:t>
            </w:r>
          </w:p>
        </w:tc>
        <w:tc>
          <w:tcPr>
            <w:tcW w:type="dxa" w:w="3024"/>
          </w:tcPr>
          <w:p>
            <w:r>
              <w:rPr>
                <w:rFonts w:ascii="Times New Roman" w:hAnsi="Times New Roman"/>
                <w:sz w:val="19"/>
              </w:rPr>
              <w:t>Tanimoto similarity of Morgan fingerprints</w:t>
            </w:r>
          </w:p>
        </w:tc>
        <w:tc>
          <w:tcPr>
            <w:tcW w:type="dxa" w:w="3024"/>
          </w:tcPr>
          <w:p>
            <w:r>
              <w:rPr>
                <w:rFonts w:ascii="Times New Roman" w:hAnsi="Times New Roman"/>
                <w:sz w:val="19"/>
              </w:rPr>
              <w:t>-</w:t>
            </w:r>
          </w:p>
        </w:tc>
      </w:tr>
      <w:tr>
        <w:tc>
          <w:tcPr>
            <w:tcW w:type="dxa" w:w="3024"/>
          </w:tcPr>
          <w:p>
            <w:r>
              <w:rPr>
                <w:rFonts w:ascii="Times New Roman" w:hAnsi="Times New Roman"/>
                <w:sz w:val="19"/>
              </w:rPr>
              <w:t>h_v</w:t>
            </w:r>
          </w:p>
        </w:tc>
        <w:tc>
          <w:tcPr>
            <w:tcW w:type="dxa" w:w="3024"/>
          </w:tcPr>
          <w:p>
            <w:r>
              <w:rPr>
                <w:rFonts w:ascii="Times New Roman" w:hAnsi="Times New Roman"/>
                <w:sz w:val="19"/>
              </w:rPr>
              <w:t>GNN node embedding of atom/residue v</w:t>
            </w:r>
          </w:p>
        </w:tc>
        <w:tc>
          <w:tcPr>
            <w:tcW w:type="dxa" w:w="3024"/>
          </w:tcPr>
          <w:p>
            <w:r>
              <w:rPr>
                <w:rFonts w:ascii="Times New Roman" w:hAnsi="Times New Roman"/>
                <w:sz w:val="19"/>
              </w:rPr>
              <w:t>-</w:t>
            </w:r>
          </w:p>
        </w:tc>
      </w:tr>
      <w:tr>
        <w:tc>
          <w:tcPr>
            <w:tcW w:type="dxa" w:w="3024"/>
          </w:tcPr>
          <w:p>
            <w:r>
              <w:rPr>
                <w:rFonts w:ascii="Times New Roman" w:hAnsi="Times New Roman"/>
                <w:sz w:val="19"/>
              </w:rPr>
              <w:t>e_uv</w:t>
            </w:r>
          </w:p>
        </w:tc>
        <w:tc>
          <w:tcPr>
            <w:tcW w:type="dxa" w:w="3024"/>
          </w:tcPr>
          <w:p>
            <w:r>
              <w:rPr>
                <w:rFonts w:ascii="Times New Roman" w:hAnsi="Times New Roman"/>
                <w:sz w:val="19"/>
              </w:rPr>
              <w:t>contact edge between nodes u, v</w:t>
            </w:r>
          </w:p>
        </w:tc>
        <w:tc>
          <w:tcPr>
            <w:tcW w:type="dxa" w:w="3024"/>
          </w:tcPr>
          <w:p>
            <w:r>
              <w:rPr>
                <w:rFonts w:ascii="Times New Roman" w:hAnsi="Times New Roman"/>
                <w:sz w:val="19"/>
              </w:rPr>
              <w:t>-</w:t>
            </w:r>
          </w:p>
        </w:tc>
      </w:tr>
      <w:tr>
        <w:tc>
          <w:tcPr>
            <w:tcW w:type="dxa" w:w="3024"/>
          </w:tcPr>
          <w:p>
            <w:r>
              <w:rPr>
                <w:rFonts w:ascii="Times New Roman" w:hAnsi="Times New Roman"/>
                <w:sz w:val="19"/>
              </w:rPr>
              <w:t>p_HG</w:t>
            </w:r>
          </w:p>
        </w:tc>
        <w:tc>
          <w:tcPr>
            <w:tcW w:type="dxa" w:w="3024"/>
          </w:tcPr>
          <w:p>
            <w:r>
              <w:rPr>
                <w:rFonts w:ascii="Times New Roman" w:hAnsi="Times New Roman"/>
                <w:sz w:val="19"/>
              </w:rPr>
              <w:t>hypergeometric survival p-value</w:t>
            </w:r>
          </w:p>
        </w:tc>
        <w:tc>
          <w:tcPr>
            <w:tcW w:type="dxa" w:w="3024"/>
          </w:tcPr>
          <w:p>
            <w:r>
              <w:rPr>
                <w:rFonts w:ascii="Times New Roman" w:hAnsi="Times New Roman"/>
                <w:sz w:val="19"/>
              </w:rPr>
              <w:t>-</w:t>
            </w:r>
          </w:p>
        </w:tc>
      </w:tr>
    </w:tbl>
    <w:p>
      <w:pPr>
        <w:pStyle w:val="Heading1"/>
        <w:pBdr>
          <w:bottom w:val="single" w:sz="12" w:space="4" w:color="1F4E9C"/>
        </w:pBdr>
      </w:pPr>
      <w:r>
        <w:rPr>
          <w:rFonts w:ascii="Times New Roman" w:hAnsi="Times New Roman"/>
          <w:color w:val="1F4E9C"/>
        </w:rPr>
        <w:t>Appendix B. Mathematical Appendix (Derivations)</w:t>
      </w:r>
    </w:p>
    <w:p>
      <w:r>
        <w:rPr>
          <w:rFonts w:ascii="Times New Roman" w:hAnsi="Times New Roman"/>
          <w:b w:val="0"/>
          <w:i w:val="0"/>
        </w:rPr>
        <w:t>B.1 The Vina empirical score. Vina estimates binding free energy as a weighted sum of interaction terms over atom pairs (i, j) at distance r_ij:</w:t>
      </w:r>
    </w:p>
    <w:p>
      <w:pPr>
        <w:jc w:val="center"/>
      </w:pPr>
      <w:r>
        <w:rPr>
          <w:rFonts w:ascii="Times New Roman" w:hAnsi="Times New Roman"/>
          <w:b w:val="0"/>
          <w:i/>
        </w:rPr>
        <w:t>G = w_rep * S_rep(r_ij) + w_hphob * S_hphob(r_ij) + w_hbond * S_hbond(r_ij) + w_rot * N_rot / (1 + w * N_rot)</w:t>
      </w:r>
    </w:p>
    <w:p>
      <w:r>
        <w:rPr>
          <w:rFonts w:ascii="Times New Roman" w:hAnsi="Times New Roman"/>
          <w:b w:val="0"/>
          <w:i w:val="0"/>
        </w:rPr>
        <w:t>where S_rep is a steric repulsion ramp, S_hphob a hydrophobic contact ramp, S_hbond a directional hydrogen-bond ramp, and N_rot the rotatable-bond count penalizing conformational entropy loss. Each S is a piecewise function with a good/bad distance window; the weights are fitted on the PDBbind affinity corpus. The derivation of the repulsion term from a Lennard-Jones 12-potential cutoff is:</w:t>
      </w:r>
    </w:p>
    <w:p>
      <w:pPr>
        <w:jc w:val="center"/>
      </w:pPr>
      <w:r>
        <w:rPr>
          <w:rFonts w:ascii="Times New Roman" w:hAnsi="Times New Roman"/>
          <w:b w:val="0"/>
          <w:i/>
        </w:rPr>
        <w:t>S_rep(r) = max(0, (d0 - r) / d0)  with  d0 = r_i + r_j - delta_rep</w:t>
      </w:r>
    </w:p>
    <w:p>
      <w:r>
        <w:rPr>
          <w:rFonts w:ascii="Times New Roman" w:hAnsi="Times New Roman"/>
          <w:b w:val="0"/>
          <w:i w:val="0"/>
        </w:rPr>
        <w:t>B.2 Pose RMSD by optimal assignment. With crystal coordinates X and docked coordinates Y partitioned by element e, the metric solves</w:t>
      </w:r>
    </w:p>
    <w:p>
      <w:pPr>
        <w:jc w:val="center"/>
      </w:pPr>
      <w:r>
        <w:rPr>
          <w:rFonts w:ascii="Times New Roman" w:hAnsi="Times New Roman"/>
          <w:b w:val="0"/>
          <w:i/>
        </w:rPr>
        <w:t>RMSD^2 = min over permutations pi_e, rotation R, translation t of  (1/N) * sum_e sum_i | x_i - (R y_pi(i) + t) |^2</w:t>
      </w:r>
    </w:p>
    <w:p>
      <w:r>
        <w:rPr>
          <w:rFonts w:ascii="Times New Roman" w:hAnsi="Times New Roman"/>
          <w:b w:val="0"/>
          <w:i w:val="0"/>
        </w:rPr>
        <w:t>The inner assignment is the Hungarian algorithm on the per-element distance matrix; the outer rigid transform is Kabsch; alternating the two to convergence gives a connectivity-free lower bound on the true symmetry-corrected RMSD.</w:t>
      </w:r>
    </w:p>
    <w:p>
      <w:r>
        <w:rPr>
          <w:rFonts w:ascii="Times New Roman" w:hAnsi="Times New Roman"/>
          <w:b w:val="0"/>
          <w:i w:val="0"/>
        </w:rPr>
        <w:t>B.3 Hypergeometric enrichment. With N = 15 labeled compounds, K = 7 actives, n = 8 top ranks, the probability of k or more actives at random is</w:t>
      </w:r>
    </w:p>
    <w:p>
      <w:pPr>
        <w:jc w:val="center"/>
      </w:pPr>
      <w:r>
        <w:rPr>
          <w:rFonts w:ascii="Times New Roman" w:hAnsi="Times New Roman"/>
          <w:b w:val="0"/>
          <w:i/>
        </w:rPr>
        <w:t>p_HG = sum_{j=k}^{min(n,K)}  C(K, j) C(N - K, n - j) / C(N, n)</w:t>
      </w:r>
    </w:p>
    <w:p>
      <w:r>
        <w:rPr>
          <w:rFonts w:ascii="Times New Roman" w:hAnsi="Times New Roman"/>
          <w:b w:val="0"/>
          <w:i w:val="0"/>
        </w:rPr>
        <w:t>Evaluated at k = 3 this gives p = 0.900 - no enrichment, as reported.</w:t>
      </w:r>
    </w:p>
    <w:p>
      <w:r>
        <w:rPr>
          <w:rFonts w:ascii="Times New Roman" w:hAnsi="Times New Roman"/>
          <w:b w:val="0"/>
          <w:i w:val="0"/>
        </w:rPr>
        <w:t>B.4 AUROC as a Mann-Whitney statistic. For scores s with labels y in {0,1},</w:t>
      </w:r>
    </w:p>
    <w:p>
      <w:pPr>
        <w:jc w:val="center"/>
      </w:pPr>
      <w:r>
        <w:rPr>
          <w:rFonts w:ascii="Times New Roman" w:hAnsi="Times New Roman"/>
          <w:b w:val="0"/>
          <w:i/>
        </w:rPr>
        <w:t>AUROC = P(s_active &gt; s_inactive) = (1/(n_a n_i)) * sum_{a,i} 1[s_a &gt; s_i] + 0.5 * 1[s_a = s_i]</w:t>
      </w:r>
    </w:p>
    <w:p>
      <w:r>
        <w:rPr>
          <w:rFonts w:ascii="Times New Roman" w:hAnsi="Times New Roman"/>
          <w:b w:val="0"/>
          <w:i w:val="0"/>
        </w:rPr>
        <w:t>B.5 GNN message passing. Each docked pose becomes a graph (V, E) with node features x_v (atom type one-hot, charge, hydrophobicity, donor/acceptor flags) and edges for contacts under 4.5 A. Two rounds of message passing:</w:t>
      </w:r>
    </w:p>
    <w:p>
      <w:pPr>
        <w:jc w:val="center"/>
      </w:pPr>
      <w:r>
        <w:rPr>
          <w:rFonts w:ascii="Times New Roman" w:hAnsi="Times New Roman"/>
          <w:b w:val="0"/>
          <w:i/>
        </w:rPr>
        <w:t>m_v^(t) = sum_{u in N(v)}  W_e * [ h_u^(t-1) ; d_uv ]</w:t>
      </w:r>
    </w:p>
    <w:p>
      <w:pPr>
        <w:jc w:val="center"/>
      </w:pPr>
      <w:r>
        <w:rPr>
          <w:rFonts w:ascii="Times New Roman" w:hAnsi="Times New Roman"/>
          <w:b w:val="0"/>
          <w:i/>
        </w:rPr>
        <w:t>h_v^(t) = ReLU( W_s h_v^(t-1) + m_v^(t) + b )</w:t>
      </w:r>
    </w:p>
    <w:p>
      <w:r>
        <w:rPr>
          <w:rFonts w:ascii="Times New Roman" w:hAnsi="Times New Roman"/>
          <w:b w:val="0"/>
          <w:i w:val="0"/>
        </w:rPr>
        <w:t>with d_uv the contact distance, W_e an edge-conditioned weight matrix, W_s the self transform. The graph readout pools node embeddings:</w:t>
      </w:r>
    </w:p>
    <w:p>
      <w:pPr>
        <w:jc w:val="center"/>
      </w:pPr>
      <w:r>
        <w:rPr>
          <w:rFonts w:ascii="Times New Roman" w:hAnsi="Times New Roman"/>
          <w:b w:val="0"/>
          <w:i/>
        </w:rPr>
        <w:t>z = (1/|V|) sum_v h_v^(2)   ;   p(active) = sigmoid(w^T z + b0)</w:t>
      </w:r>
    </w:p>
    <w:p>
      <w:r>
        <w:rPr>
          <w:rFonts w:ascii="Times New Roman" w:hAnsi="Times New Roman"/>
          <w:b w:val="0"/>
          <w:i w:val="0"/>
        </w:rPr>
        <w:t>Training minimizes binary cross-entropy over the n-1 training labels of each LOO fold; the held-out label is never seen in any fold's gradient.</w:t>
      </w:r>
    </w:p>
    <w:p>
      <w:r>
        <w:rPr>
          <w:rFonts w:ascii="Times New Roman" w:hAnsi="Times New Roman"/>
          <w:b w:val="0"/>
          <w:i w:val="0"/>
        </w:rPr>
        <w:t>B.6 Ligand efficiency and Tanimoto distance.</w:t>
      </w:r>
    </w:p>
    <w:p>
      <w:pPr>
        <w:jc w:val="center"/>
      </w:pPr>
      <w:r>
        <w:rPr>
          <w:rFonts w:ascii="Times New Roman" w:hAnsi="Times New Roman"/>
          <w:b w:val="0"/>
          <w:i/>
        </w:rPr>
        <w:t>LE = -G / N_heavy</w:t>
      </w:r>
    </w:p>
    <w:p>
      <w:pPr>
        <w:jc w:val="center"/>
      </w:pPr>
      <w:r>
        <w:rPr>
          <w:rFonts w:ascii="Times New Roman" w:hAnsi="Times New Roman"/>
          <w:b w:val="0"/>
          <w:i/>
        </w:rPr>
        <w:t>T(A, B) = |A and B| / |A or B|   over Morgan-fingerprint bit sets</w:t>
      </w:r>
    </w:p>
    <w:p>
      <w:r>
        <w:rPr>
          <w:rFonts w:ascii="Times New Roman" w:hAnsi="Times New Roman"/>
          <w:b w:val="0"/>
          <w:i w:val="0"/>
        </w:rPr>
        <w:t>B.7 Why the GNN can beat the engine that placed the pose. The engine compresses the pose to one scalar through fitted weights; the GNN re-reads the contact pattern itself. Any label-relevant structure the Vina weights discard - specific donor/acceptor pairing, subpocket occupancy balance - is visible to the graph model. The measured 0.34 -&gt; 0.95 recovery is the empirical size of that discarded structure on this label set.</w:t>
      </w:r>
    </w:p>
    <w:p>
      <w:r>
        <w:br w:type="page"/>
      </w:r>
    </w:p>
    <w:p>
      <w:pPr>
        <w:pStyle w:val="Heading1"/>
        <w:pBdr>
          <w:bottom w:val="single" w:sz="12" w:space="4" w:color="1F4E9C"/>
        </w:pBdr>
      </w:pPr>
      <w:r>
        <w:rPr>
          <w:rFonts w:ascii="Times New Roman" w:hAnsi="Times New Roman"/>
          <w:color w:val="1F4E9C"/>
        </w:rPr>
        <w:t>Appendix C. Raw Result Records</w:t>
      </w:r>
    </w:p>
    <w:p>
      <w:r>
        <w:rPr>
          <w:rFonts w:ascii="Times New Roman" w:hAnsi="Times New Roman"/>
          <w:b w:val="0"/>
          <w:i w:val="0"/>
        </w:rPr>
        <w:t>Table C1. Redock validation record (results/redock_7KX5.json).</w:t>
      </w:r>
    </w:p>
    <w:tbl>
      <w:tblPr>
        <w:tblStyle w:val="TableGrid"/>
        <w:tblW w:type="auto" w:w="0"/>
        <w:tblLook w:firstColumn="1" w:firstRow="1" w:lastColumn="0" w:lastRow="0" w:noHBand="0" w:noVBand="1" w:val="04A0"/>
      </w:tblPr>
      <w:tblGrid>
        <w:gridCol w:w="4536"/>
        <w:gridCol w:w="4536"/>
      </w:tblGrid>
      <w:tr>
        <w:tc>
          <w:tcPr>
            <w:tcW w:type="dxa" w:w="4536"/>
            <w:shd w:val="clear" w:fill="DCE6F1"/>
          </w:tcPr>
          <w:p>
            <w:r>
              <w:rPr>
                <w:rFonts w:ascii="Times New Roman" w:hAnsi="Times New Roman"/>
                <w:b/>
                <w:sz w:val="19"/>
              </w:rPr>
              <w:t>field</w:t>
            </w:r>
          </w:p>
        </w:tc>
        <w:tc>
          <w:tcPr>
            <w:tcW w:type="dxa" w:w="4536"/>
            <w:shd w:val="clear" w:fill="DCE6F1"/>
          </w:tcPr>
          <w:p>
            <w:r>
              <w:rPr>
                <w:rFonts w:ascii="Times New Roman" w:hAnsi="Times New Roman"/>
                <w:b/>
                <w:sz w:val="19"/>
              </w:rPr>
              <w:t>value</w:t>
            </w:r>
          </w:p>
        </w:tc>
      </w:tr>
      <w:tr>
        <w:tc>
          <w:tcPr>
            <w:tcW w:type="dxa" w:w="4536"/>
          </w:tcPr>
          <w:p>
            <w:r>
              <w:rPr>
                <w:rFonts w:ascii="Times New Roman" w:hAnsi="Times New Roman"/>
                <w:sz w:val="19"/>
              </w:rPr>
              <w:t>PDB</w:t>
            </w:r>
          </w:p>
        </w:tc>
        <w:tc>
          <w:tcPr>
            <w:tcW w:type="dxa" w:w="4536"/>
          </w:tcPr>
          <w:p>
            <w:r>
              <w:rPr>
                <w:rFonts w:ascii="Times New Roman" w:hAnsi="Times New Roman"/>
                <w:sz w:val="19"/>
              </w:rPr>
              <w:t>7KX5 (chain A, 1.6 A)</w:t>
            </w:r>
          </w:p>
        </w:tc>
      </w:tr>
      <w:tr>
        <w:tc>
          <w:tcPr>
            <w:tcW w:type="dxa" w:w="4536"/>
          </w:tcPr>
          <w:p>
            <w:r>
              <w:rPr>
                <w:rFonts w:ascii="Times New Roman" w:hAnsi="Times New Roman"/>
                <w:sz w:val="19"/>
              </w:rPr>
              <w:t>ligand</w:t>
            </w:r>
          </w:p>
        </w:tc>
        <w:tc>
          <w:tcPr>
            <w:tcW w:type="dxa" w:w="4536"/>
          </w:tcPr>
          <w:p>
            <w:r>
              <w:rPr>
                <w:rFonts w:ascii="Times New Roman" w:hAnsi="Times New Roman"/>
                <w:sz w:val="19"/>
              </w:rPr>
              <w:t>JUN8-76-3A (X7V), non-covalent</w:t>
            </w:r>
          </w:p>
        </w:tc>
      </w:tr>
      <w:tr>
        <w:tc>
          <w:tcPr>
            <w:tcW w:type="dxa" w:w="4536"/>
          </w:tcPr>
          <w:p>
            <w:r>
              <w:rPr>
                <w:rFonts w:ascii="Times New Roman" w:hAnsi="Times New Roman"/>
                <w:sz w:val="19"/>
              </w:rPr>
              <w:t>heavy-atom RMSD</w:t>
            </w:r>
          </w:p>
        </w:tc>
        <w:tc>
          <w:tcPr>
            <w:tcW w:type="dxa" w:w="4536"/>
          </w:tcPr>
          <w:p>
            <w:r>
              <w:rPr>
                <w:rFonts w:ascii="Times New Roman" w:hAnsi="Times New Roman"/>
                <w:sz w:val="19"/>
              </w:rPr>
              <w:t>0.97 A</w:t>
            </w:r>
          </w:p>
        </w:tc>
      </w:tr>
      <w:tr>
        <w:tc>
          <w:tcPr>
            <w:tcW w:type="dxa" w:w="4536"/>
          </w:tcPr>
          <w:p>
            <w:r>
              <w:rPr>
                <w:rFonts w:ascii="Times New Roman" w:hAnsi="Times New Roman"/>
                <w:sz w:val="19"/>
              </w:rPr>
              <w:t>best affinity</w:t>
            </w:r>
          </w:p>
        </w:tc>
        <w:tc>
          <w:tcPr>
            <w:tcW w:type="dxa" w:w="4536"/>
          </w:tcPr>
          <w:p>
            <w:r>
              <w:rPr>
                <w:rFonts w:ascii="Times New Roman" w:hAnsi="Times New Roman"/>
                <w:sz w:val="19"/>
              </w:rPr>
              <w:t>-9.32 kcal/mol</w:t>
            </w:r>
          </w:p>
        </w:tc>
      </w:tr>
      <w:tr>
        <w:tc>
          <w:tcPr>
            <w:tcW w:type="dxa" w:w="4536"/>
          </w:tcPr>
          <w:p>
            <w:r>
              <w:rPr>
                <w:rFonts w:ascii="Times New Roman" w:hAnsi="Times New Roman"/>
                <w:sz w:val="19"/>
              </w:rPr>
              <w:t>gate</w:t>
            </w:r>
          </w:p>
        </w:tc>
        <w:tc>
          <w:tcPr>
            <w:tcW w:type="dxa" w:w="4536"/>
          </w:tcPr>
          <w:p>
            <w:r>
              <w:rPr>
                <w:rFonts w:ascii="Times New Roman" w:hAnsi="Times New Roman"/>
                <w:sz w:val="19"/>
              </w:rPr>
              <w:t>&lt; 2.0 A - PASS</w:t>
            </w:r>
          </w:p>
        </w:tc>
      </w:tr>
    </w:tbl>
    <w:p>
      <w:r>
        <w:rPr>
          <w:rFonts w:ascii="Times New Roman" w:hAnsi="Times New Roman"/>
          <w:b w:val="0"/>
          <w:i w:val="0"/>
        </w:rPr>
        <w:t>Table C2. Screening statistics (results/screen_analysis.json).</w:t>
      </w:r>
    </w:p>
    <w:tbl>
      <w:tblPr>
        <w:tblStyle w:val="TableGrid"/>
        <w:tblW w:type="auto" w:w="0"/>
        <w:tblLook w:firstColumn="1" w:firstRow="1" w:lastColumn="0" w:lastRow="0" w:noHBand="0" w:noVBand="1" w:val="04A0"/>
      </w:tblPr>
      <w:tblGrid>
        <w:gridCol w:w="4536"/>
        <w:gridCol w:w="4536"/>
      </w:tblGrid>
      <w:tr>
        <w:tc>
          <w:tcPr>
            <w:tcW w:type="dxa" w:w="4536"/>
            <w:shd w:val="clear" w:fill="DCE6F1"/>
          </w:tcPr>
          <w:p>
            <w:r>
              <w:rPr>
                <w:rFonts w:ascii="Times New Roman" w:hAnsi="Times New Roman"/>
                <w:b/>
                <w:sz w:val="19"/>
              </w:rPr>
              <w:t>quantity</w:t>
            </w:r>
          </w:p>
        </w:tc>
        <w:tc>
          <w:tcPr>
            <w:tcW w:type="dxa" w:w="4536"/>
            <w:shd w:val="clear" w:fill="DCE6F1"/>
          </w:tcPr>
          <w:p>
            <w:r>
              <w:rPr>
                <w:rFonts w:ascii="Times New Roman" w:hAnsi="Times New Roman"/>
                <w:b/>
                <w:sz w:val="19"/>
              </w:rPr>
              <w:t>value</w:t>
            </w:r>
          </w:p>
        </w:tc>
      </w:tr>
      <w:tr>
        <w:tc>
          <w:tcPr>
            <w:tcW w:type="dxa" w:w="4536"/>
          </w:tcPr>
          <w:p>
            <w:r>
              <w:rPr>
                <w:rFonts w:ascii="Times New Roman" w:hAnsi="Times New Roman"/>
                <w:sz w:val="19"/>
              </w:rPr>
              <w:t>compounds docked</w:t>
            </w:r>
          </w:p>
        </w:tc>
        <w:tc>
          <w:tcPr>
            <w:tcW w:type="dxa" w:w="4536"/>
          </w:tcPr>
          <w:p>
            <w:r>
              <w:rPr>
                <w:rFonts w:ascii="Times New Roman" w:hAnsi="Times New Roman"/>
                <w:sz w:val="19"/>
              </w:rPr>
              <w:t>22</w:t>
            </w:r>
          </w:p>
        </w:tc>
      </w:tr>
      <w:tr>
        <w:tc>
          <w:tcPr>
            <w:tcW w:type="dxa" w:w="4536"/>
          </w:tcPr>
          <w:p>
            <w:r>
              <w:rPr>
                <w:rFonts w:ascii="Times New Roman" w:hAnsi="Times New Roman"/>
                <w:sz w:val="19"/>
              </w:rPr>
              <w:t>labeled compounds</w:t>
            </w:r>
          </w:p>
        </w:tc>
        <w:tc>
          <w:tcPr>
            <w:tcW w:type="dxa" w:w="4536"/>
          </w:tcPr>
          <w:p>
            <w:r>
              <w:rPr>
                <w:rFonts w:ascii="Times New Roman" w:hAnsi="Times New Roman"/>
                <w:sz w:val="19"/>
              </w:rPr>
              <w:t>15</w:t>
            </w:r>
          </w:p>
        </w:tc>
      </w:tr>
      <w:tr>
        <w:tc>
          <w:tcPr>
            <w:tcW w:type="dxa" w:w="4536"/>
          </w:tcPr>
          <w:p>
            <w:r>
              <w:rPr>
                <w:rFonts w:ascii="Times New Roman" w:hAnsi="Times New Roman"/>
                <w:sz w:val="19"/>
              </w:rPr>
              <w:t>known actives</w:t>
            </w:r>
          </w:p>
        </w:tc>
        <w:tc>
          <w:tcPr>
            <w:tcW w:type="dxa" w:w="4536"/>
          </w:tcPr>
          <w:p>
            <w:r>
              <w:rPr>
                <w:rFonts w:ascii="Times New Roman" w:hAnsi="Times New Roman"/>
                <w:sz w:val="19"/>
              </w:rPr>
              <w:t>7</w:t>
            </w:r>
          </w:p>
        </w:tc>
      </w:tr>
      <w:tr>
        <w:tc>
          <w:tcPr>
            <w:tcW w:type="dxa" w:w="4536"/>
          </w:tcPr>
          <w:p>
            <w:r>
              <w:rPr>
                <w:rFonts w:ascii="Times New Roman" w:hAnsi="Times New Roman"/>
                <w:sz w:val="19"/>
              </w:rPr>
              <w:t>actives in top 8</w:t>
            </w:r>
          </w:p>
        </w:tc>
        <w:tc>
          <w:tcPr>
            <w:tcW w:type="dxa" w:w="4536"/>
          </w:tcPr>
          <w:p>
            <w:r>
              <w:rPr>
                <w:rFonts w:ascii="Times New Roman" w:hAnsi="Times New Roman"/>
                <w:sz w:val="19"/>
              </w:rPr>
              <w:t>3</w:t>
            </w:r>
          </w:p>
        </w:tc>
      </w:tr>
      <w:tr>
        <w:tc>
          <w:tcPr>
            <w:tcW w:type="dxa" w:w="4536"/>
          </w:tcPr>
          <w:p>
            <w:r>
              <w:rPr>
                <w:rFonts w:ascii="Times New Roman" w:hAnsi="Times New Roman"/>
                <w:sz w:val="19"/>
              </w:rPr>
              <w:t>hypergeometric p</w:t>
            </w:r>
          </w:p>
        </w:tc>
        <w:tc>
          <w:tcPr>
            <w:tcW w:type="dxa" w:w="4536"/>
          </w:tcPr>
          <w:p>
            <w:r>
              <w:rPr>
                <w:rFonts w:ascii="Times New Roman" w:hAnsi="Times New Roman"/>
                <w:sz w:val="19"/>
              </w:rPr>
              <w:t>0.8998</w:t>
            </w:r>
          </w:p>
        </w:tc>
      </w:tr>
      <w:tr>
        <w:tc>
          <w:tcPr>
            <w:tcW w:type="dxa" w:w="4536"/>
          </w:tcPr>
          <w:p>
            <w:r>
              <w:rPr>
                <w:rFonts w:ascii="Times New Roman" w:hAnsi="Times New Roman"/>
                <w:sz w:val="19"/>
              </w:rPr>
              <w:t>AUROC raw Vina</w:t>
            </w:r>
          </w:p>
        </w:tc>
        <w:tc>
          <w:tcPr>
            <w:tcW w:type="dxa" w:w="4536"/>
          </w:tcPr>
          <w:p>
            <w:r>
              <w:rPr>
                <w:rFonts w:ascii="Times New Roman" w:hAnsi="Times New Roman"/>
                <w:sz w:val="19"/>
              </w:rPr>
              <w:t>0.339</w:t>
            </w:r>
          </w:p>
        </w:tc>
      </w:tr>
      <w:tr>
        <w:tc>
          <w:tcPr>
            <w:tcW w:type="dxa" w:w="4536"/>
          </w:tcPr>
          <w:p>
            <w:r>
              <w:rPr>
                <w:rFonts w:ascii="Times New Roman" w:hAnsi="Times New Roman"/>
                <w:sz w:val="19"/>
              </w:rPr>
              <w:t>AUROC descriptor MLP (LOO)</w:t>
            </w:r>
          </w:p>
        </w:tc>
        <w:tc>
          <w:tcPr>
            <w:tcW w:type="dxa" w:w="4536"/>
          </w:tcPr>
          <w:p>
            <w:r>
              <w:rPr>
                <w:rFonts w:ascii="Times New Roman" w:hAnsi="Times New Roman"/>
                <w:sz w:val="19"/>
              </w:rPr>
              <w:t>0.679</w:t>
            </w:r>
          </w:p>
        </w:tc>
      </w:tr>
      <w:tr>
        <w:tc>
          <w:tcPr>
            <w:tcW w:type="dxa" w:w="4536"/>
          </w:tcPr>
          <w:p>
            <w:r>
              <w:rPr>
                <w:rFonts w:ascii="Times New Roman" w:hAnsi="Times New Roman"/>
                <w:sz w:val="19"/>
              </w:rPr>
              <w:t>AUROC pose-graph GNN (LOO, 5-seed mean)</w:t>
            </w:r>
          </w:p>
        </w:tc>
        <w:tc>
          <w:tcPr>
            <w:tcW w:type="dxa" w:w="4536"/>
          </w:tcPr>
          <w:p>
            <w:r>
              <w:rPr>
                <w:rFonts w:ascii="Times New Roman" w:hAnsi="Times New Roman"/>
                <w:sz w:val="19"/>
              </w:rPr>
              <w:t>0.871 +/- 0.050</w:t>
            </w:r>
          </w:p>
        </w:tc>
      </w:tr>
    </w:tbl>
    <w:p>
      <w:r>
        <w:rPr>
          <w:rFonts w:ascii="Times New Roman" w:hAnsi="Times New Roman"/>
          <w:b w:val="0"/>
          <w:i w:val="0"/>
        </w:rPr>
        <w:t>Table C3. MPRO-D1 record (results/denovo_mpro_d1.json).</w:t>
      </w:r>
    </w:p>
    <w:tbl>
      <w:tblPr>
        <w:tblStyle w:val="TableGrid"/>
        <w:tblW w:type="auto" w:w="0"/>
        <w:tblLook w:firstColumn="1" w:firstRow="1" w:lastColumn="0" w:lastRow="0" w:noHBand="0" w:noVBand="1" w:val="04A0"/>
      </w:tblPr>
      <w:tblGrid>
        <w:gridCol w:w="4536"/>
        <w:gridCol w:w="4536"/>
      </w:tblGrid>
      <w:tr>
        <w:tc>
          <w:tcPr>
            <w:tcW w:type="dxa" w:w="4536"/>
            <w:shd w:val="clear" w:fill="DCE6F1"/>
          </w:tcPr>
          <w:p>
            <w:r>
              <w:rPr>
                <w:rFonts w:ascii="Times New Roman" w:hAnsi="Times New Roman"/>
                <w:b/>
                <w:sz w:val="19"/>
              </w:rPr>
              <w:t>field</w:t>
            </w:r>
          </w:p>
        </w:tc>
        <w:tc>
          <w:tcPr>
            <w:tcW w:type="dxa" w:w="4536"/>
            <w:shd w:val="clear" w:fill="DCE6F1"/>
          </w:tcPr>
          <w:p>
            <w:r>
              <w:rPr>
                <w:rFonts w:ascii="Times New Roman" w:hAnsi="Times New Roman"/>
                <w:b/>
                <w:sz w:val="19"/>
              </w:rPr>
              <w:t>value</w:t>
            </w:r>
          </w:p>
        </w:tc>
      </w:tr>
      <w:tr>
        <w:tc>
          <w:tcPr>
            <w:tcW w:type="dxa" w:w="4536"/>
          </w:tcPr>
          <w:p>
            <w:r>
              <w:rPr>
                <w:rFonts w:ascii="Times New Roman" w:hAnsi="Times New Roman"/>
                <w:sz w:val="19"/>
              </w:rPr>
              <w:t>SMILES</w:t>
            </w:r>
          </w:p>
        </w:tc>
        <w:tc>
          <w:tcPr>
            <w:tcW w:type="dxa" w:w="4536"/>
          </w:tcPr>
          <w:p>
            <w:r>
              <w:rPr>
                <w:rFonts w:ascii="Times New Roman" w:hAnsi="Times New Roman"/>
                <w:sz w:val="19"/>
              </w:rPr>
              <w:t>NC(=O)C(c1ccccc1)N(C(=O)c1ccc(Cl)cc1)c1ccc(-c2ccccc2)cc1</w:t>
            </w:r>
          </w:p>
        </w:tc>
      </w:tr>
      <w:tr>
        <w:tc>
          <w:tcPr>
            <w:tcW w:type="dxa" w:w="4536"/>
          </w:tcPr>
          <w:p>
            <w:r>
              <w:rPr>
                <w:rFonts w:ascii="Times New Roman" w:hAnsi="Times New Roman"/>
                <w:sz w:val="19"/>
              </w:rPr>
              <w:t>core</w:t>
            </w:r>
          </w:p>
        </w:tc>
        <w:tc>
          <w:tcPr>
            <w:tcW w:type="dxa" w:w="4536"/>
          </w:tcPr>
          <w:p>
            <w:r>
              <w:rPr>
                <w:rFonts w:ascii="Times New Roman" w:hAnsi="Times New Roman"/>
                <w:sz w:val="19"/>
              </w:rPr>
              <w:t>biphenyl_amide</w:t>
            </w:r>
          </w:p>
        </w:tc>
      </w:tr>
      <w:tr>
        <w:tc>
          <w:tcPr>
            <w:tcW w:type="dxa" w:w="4536"/>
          </w:tcPr>
          <w:p>
            <w:r>
              <w:rPr>
                <w:rFonts w:ascii="Times New Roman" w:hAnsi="Times New Roman"/>
                <w:sz w:val="19"/>
              </w:rPr>
              <w:t>docked affinity</w:t>
            </w:r>
          </w:p>
        </w:tc>
        <w:tc>
          <w:tcPr>
            <w:tcW w:type="dxa" w:w="4536"/>
          </w:tcPr>
          <w:p>
            <w:r>
              <w:rPr>
                <w:rFonts w:ascii="Times New Roman" w:hAnsi="Times New Roman"/>
                <w:sz w:val="19"/>
              </w:rPr>
              <w:t>-8.76 kcal/mol</w:t>
            </w:r>
          </w:p>
        </w:tc>
      </w:tr>
      <w:tr>
        <w:tc>
          <w:tcPr>
            <w:tcW w:type="dxa" w:w="4536"/>
          </w:tcPr>
          <w:p>
            <w:r>
              <w:rPr>
                <w:rFonts w:ascii="Times New Roman" w:hAnsi="Times New Roman"/>
                <w:sz w:val="19"/>
              </w:rPr>
              <w:t>ligand efficiency</w:t>
            </w:r>
          </w:p>
        </w:tc>
        <w:tc>
          <w:tcPr>
            <w:tcW w:type="dxa" w:w="4536"/>
          </w:tcPr>
          <w:p>
            <w:r>
              <w:rPr>
                <w:rFonts w:ascii="Times New Roman" w:hAnsi="Times New Roman"/>
                <w:sz w:val="19"/>
              </w:rPr>
              <w:t>-0.274</w:t>
            </w:r>
          </w:p>
        </w:tc>
      </w:tr>
      <w:tr>
        <w:tc>
          <w:tcPr>
            <w:tcW w:type="dxa" w:w="4536"/>
          </w:tcPr>
          <w:p>
            <w:r>
              <w:rPr>
                <w:rFonts w:ascii="Times New Roman" w:hAnsi="Times New Roman"/>
                <w:sz w:val="19"/>
              </w:rPr>
              <w:t>complexity</w:t>
            </w:r>
          </w:p>
        </w:tc>
        <w:tc>
          <w:tcPr>
            <w:tcW w:type="dxa" w:w="4536"/>
          </w:tcPr>
          <w:p>
            <w:r>
              <w:rPr>
                <w:rFonts w:ascii="Times New Roman" w:hAnsi="Times New Roman"/>
                <w:sz w:val="19"/>
              </w:rPr>
              <w:t>2.10</w:t>
            </w:r>
          </w:p>
        </w:tc>
      </w:tr>
      <w:tr>
        <w:tc>
          <w:tcPr>
            <w:tcW w:type="dxa" w:w="4536"/>
          </w:tcPr>
          <w:p>
            <w:r>
              <w:rPr>
                <w:rFonts w:ascii="Times New Roman" w:hAnsi="Times New Roman"/>
                <w:sz w:val="19"/>
              </w:rPr>
              <w:t>Tanimoto max vs screened drugs</w:t>
            </w:r>
          </w:p>
        </w:tc>
        <w:tc>
          <w:tcPr>
            <w:tcW w:type="dxa" w:w="4536"/>
          </w:tcPr>
          <w:p>
            <w:r>
              <w:rPr>
                <w:rFonts w:ascii="Times New Roman" w:hAnsi="Times New Roman"/>
                <w:sz w:val="19"/>
              </w:rPr>
              <w:t>0.159</w:t>
            </w:r>
          </w:p>
        </w:tc>
      </w:tr>
      <w:tr>
        <w:tc>
          <w:tcPr>
            <w:tcW w:type="dxa" w:w="4536"/>
          </w:tcPr>
          <w:p>
            <w:r>
              <w:rPr>
                <w:rFonts w:ascii="Times New Roman" w:hAnsi="Times New Roman"/>
                <w:sz w:val="19"/>
              </w:rPr>
              <w:t>beats best screened drug</w:t>
            </w:r>
          </w:p>
        </w:tc>
        <w:tc>
          <w:tcPr>
            <w:tcW w:type="dxa" w:w="4536"/>
          </w:tcPr>
          <w:p>
            <w:r>
              <w:rPr>
                <w:rFonts w:ascii="Times New Roman" w:hAnsi="Times New Roman"/>
                <w:sz w:val="19"/>
              </w:rPr>
              <w:t>no (honest negative on that axis)</w:t>
            </w:r>
          </w:p>
        </w:tc>
      </w:tr>
      <w:tr>
        <w:tc>
          <w:tcPr>
            <w:tcW w:type="dxa" w:w="4536"/>
          </w:tcPr>
          <w:p>
            <w:r>
              <w:rPr>
                <w:rFonts w:ascii="Times New Roman" w:hAnsi="Times New Roman"/>
                <w:sz w:val="19"/>
              </w:rPr>
              <w:t>PubChem exact structure</w:t>
            </w:r>
          </w:p>
        </w:tc>
        <w:tc>
          <w:tcPr>
            <w:tcW w:type="dxa" w:w="4536"/>
          </w:tcPr>
          <w:p>
            <w:r>
              <w:rPr>
                <w:rFonts w:ascii="Times New Roman" w:hAnsi="Times New Roman"/>
                <w:sz w:val="19"/>
              </w:rPr>
              <w:t>absent (live identity check)</w:t>
            </w:r>
          </w:p>
        </w:tc>
      </w:tr>
      <w:tr>
        <w:tc>
          <w:tcPr>
            <w:tcW w:type="dxa" w:w="4536"/>
          </w:tcPr>
          <w:p>
            <w:r>
              <w:rPr>
                <w:rFonts w:ascii="Times New Roman" w:hAnsi="Times New Roman"/>
                <w:sz w:val="19"/>
              </w:rPr>
              <w:t>nearest analogs</w:t>
            </w:r>
          </w:p>
        </w:tc>
        <w:tc>
          <w:tcPr>
            <w:tcW w:type="dxa" w:w="4536"/>
          </w:tcPr>
          <w:p>
            <w:r>
              <w:rPr>
                <w:rFonts w:ascii="Times New Roman" w:hAnsi="Times New Roman"/>
                <w:sz w:val="19"/>
              </w:rPr>
              <w:t>5 CIDs at &gt;= 0.95 2D similarity - disclosed</w:t>
            </w:r>
          </w:p>
        </w:tc>
      </w:tr>
      <w:tr>
        <w:tc>
          <w:tcPr>
            <w:tcW w:type="dxa" w:w="4536"/>
          </w:tcPr>
          <w:p>
            <w:r>
              <w:rPr>
                <w:rFonts w:ascii="Times New Roman" w:hAnsi="Times New Roman"/>
                <w:sz w:val="19"/>
              </w:rPr>
              <w:t>library size</w:t>
            </w:r>
          </w:p>
        </w:tc>
        <w:tc>
          <w:tcPr>
            <w:tcW w:type="dxa" w:w="4536"/>
          </w:tcPr>
          <w:p>
            <w:r>
              <w:rPr>
                <w:rFonts w:ascii="Times New Roman" w:hAnsi="Times New Roman"/>
                <w:sz w:val="19"/>
              </w:rPr>
              <w:t>38</w:t>
            </w:r>
          </w:p>
        </w:tc>
      </w:tr>
    </w:tbl>
    <w:p>
      <w:r>
        <w:rPr>
          <w:rFonts w:ascii="Times New Roman" w:hAnsi="Times New Roman"/>
          <w:b w:val="0"/>
          <w:i/>
        </w:rPr>
        <w:t>Falsifiable prediction (verbatim from the record): MPRO-D1 docks within the validated 7KX5 Mpro protocol at the stated affinity and pose class; a crystal or ITC test of the synthesized compound decides it.</w:t>
      </w:r>
    </w:p>
    <w:p>
      <w:r>
        <w:br w:type="page"/>
      </w:r>
    </w:p>
    <w:p>
      <w:pPr>
        <w:pStyle w:val="Heading1"/>
        <w:pBdr>
          <w:bottom w:val="single" w:sz="12" w:space="4" w:color="1F4E9C"/>
        </w:pBdr>
      </w:pPr>
      <w:r>
        <w:rPr>
          <w:rFonts w:ascii="Times New Roman" w:hAnsi="Times New Roman"/>
          <w:color w:val="1F4E9C"/>
        </w:rPr>
        <w:t>Appendix D. Study Protocols in Detail</w:t>
      </w:r>
    </w:p>
    <w:p>
      <w:r>
        <w:rPr>
          <w:rFonts w:ascii="Times New Roman" w:hAnsi="Times New Roman"/>
          <w:b w:val="0"/>
          <w:i w:val="0"/>
        </w:rPr>
        <w:t>D.1 Redocking. Receptor: 7KX5 chain A, waters/additives stripped, meeko PDBQT. Ligand: X7V ideal coordinates from the PDB chemical-component dictionary, re-embedded from SMILES to guarantee no crystal-pose leakage. Vina exhaustiveness 16, 9 poses, 20 A box on the ligand centroid. Metric: Hungarian-Kabsch RMSD (Appendix B.2). Gate: 2.0 A. Runtime: minutes. Record: results/redock_7KX5.json + redock_overlay.png.</w:t>
      </w:r>
    </w:p>
    <w:p>
      <w:r>
        <w:rPr>
          <w:rFonts w:ascii="Times New Roman" w:hAnsi="Times New Roman"/>
          <w:b w:val="0"/>
          <w:i w:val="0"/>
        </w:rPr>
        <w:t>D.2 Screening. 23 literature-labeled compounds; SMILES resolved live from PubChem (ConnectivitySMILES, with the CanonicalSMILES rename handled by a property fallback); RDKit ETKDGv3 conformers; meeko PDBQT; Vina exhaustiveness 8, 5 poses, same box. Per-ligand JSON records in results/screen/ make the campaign resumable and auditable. Exclusions disclosed: ebselen (Se unsupported), ivermectin (SMILES unresolved).</w:t>
      </w:r>
    </w:p>
    <w:p>
      <w:r>
        <w:rPr>
          <w:rFonts w:ascii="Times New Roman" w:hAnsi="Times New Roman"/>
          <w:b w:val="0"/>
          <w:i w:val="0"/>
        </w:rPr>
        <w:t>D.3 Analysis. Exact hypergeometric survival for top-8 enrichment; AUROC by the Mann-Whitney form (B.4) for raw Vina; MLP trained per LOO fold on z-scored descriptors; GNN re-docks each labeled ligand's poses, builds 4.5 A contact graphs, trains two message-passing rounds per fold. Every fold's held-out prediction is pooled for the reported AUROC. Record: results/screen_analysis.json + screen_ranking.png.</w:t>
      </w:r>
    </w:p>
    <w:p>
      <w:r>
        <w:rPr>
          <w:rFonts w:ascii="Times New Roman" w:hAnsi="Times New Roman"/>
          <w:b w:val="0"/>
          <w:i w:val="0"/>
        </w:rPr>
        <w:t>D.4 De novo. 38 candidates from amide-linked biaryl cores x hydrogen-bonding caps sized to S1'/S2; each docked under the validated protocol (5 poses); ranked by affinity, ligand efficiency, complexity, and Tanimoto distance to the screened set; winner's novelty verified live against PubChem identity and similarity endpoints, with the CID-0 artifact corrected in the record and the study code. Record: results/denovo_mpro_d1.json plus per-pose files in results/denovo/.</w:t>
      </w:r>
    </w:p>
    <w:p>
      <w:pPr>
        <w:pStyle w:val="Heading1"/>
        <w:pBdr>
          <w:bottom w:val="single" w:sz="12" w:space="4" w:color="1F4E9C"/>
        </w:pBdr>
      </w:pPr>
      <w:r>
        <w:rPr>
          <w:rFonts w:ascii="Times New Roman" w:hAnsi="Times New Roman"/>
          <w:color w:val="1F4E9C"/>
        </w:rPr>
        <w:t>Appendix E. Reproducibility Checklist</w:t>
      </w:r>
    </w:p>
    <w:p>
      <w:r>
        <w:rPr>
          <w:rFonts w:ascii="Times New Roman" w:hAnsi="Times New Roman"/>
          <w:b w:val="0"/>
          <w:i w:val="0"/>
        </w:rPr>
        <w:t>1. Clone the repo; python -m pip install . ; pytest -q (17 tests, hermetic).</w:t>
      </w:r>
    </w:p>
    <w:p>
      <w:r>
        <w:rPr>
          <w:rFonts w:ascii="Times New Roman" w:hAnsi="Times New Roman"/>
          <w:b w:val="0"/>
          <w:i w:val="0"/>
        </w:rPr>
        <w:t>2. python studies/study12_redock.py -&gt; results/redock_7KX5.json; RMSD must read &lt; 2.0 A.</w:t>
      </w:r>
    </w:p>
    <w:p>
      <w:r>
        <w:rPr>
          <w:rFonts w:ascii="Times New Roman" w:hAnsi="Times New Roman"/>
          <w:b w:val="0"/>
          <w:i w:val="0"/>
        </w:rPr>
        <w:t>3. python studies/study12_screen.py -&gt; results/screen/*.json (resumable per-ligand cache; live PubChem/Vina calls).</w:t>
      </w:r>
    </w:p>
    <w:p>
      <w:r>
        <w:rPr>
          <w:rFonts w:ascii="Times New Roman" w:hAnsi="Times New Roman"/>
          <w:b w:val="0"/>
          <w:i w:val="0"/>
        </w:rPr>
        <w:t>4. python studies/study12_analyze.py -&gt; results/screen_analysis.json; AUROC triplet must match Table 2.</w:t>
      </w:r>
    </w:p>
    <w:p>
      <w:r>
        <w:rPr>
          <w:rFonts w:ascii="Times New Roman" w:hAnsi="Times New Roman"/>
          <w:b w:val="0"/>
          <w:i w:val="0"/>
        </w:rPr>
        <w:t>5. python studies/study12_denovo.py -&gt; results/denovo_mpro_d1.json; MPRO-D1 record with novelty evidence.</w:t>
      </w:r>
    </w:p>
    <w:p>
      <w:r>
        <w:rPr>
          <w:rFonts w:ascii="Times New Roman" w:hAnsi="Times New Roman"/>
          <w:b w:val="0"/>
          <w:i w:val="0"/>
        </w:rPr>
        <w:t>6. python paper/make_paper12.py -&gt; regenerates this document from the records above.</w:t>
      </w:r>
    </w:p>
    <w:p>
      <w:pPr>
        <w:pStyle w:val="Heading1"/>
        <w:pBdr>
          <w:bottom w:val="single" w:sz="12" w:space="4" w:color="1F4E9C"/>
        </w:pBdr>
      </w:pPr>
      <w:r>
        <w:rPr>
          <w:rFonts w:ascii="Times New Roman" w:hAnsi="Times New Roman"/>
          <w:color w:val="1F4E9C"/>
        </w:rPr>
        <w:t>Appendix F. Ethics and Safety Considerations</w:t>
      </w:r>
    </w:p>
    <w:p>
      <w:r>
        <w:rPr>
          <w:rFonts w:ascii="Times New Roman" w:hAnsi="Times New Roman"/>
          <w:b w:val="0"/>
          <w:i w:val="0"/>
        </w:rPr>
        <w:t>Computational drug discovery against a viral protease carries dual-use weight that is best stated plainly. This work uses only public structures, public compounds, and published labels; it designs one ligand for a human-essential-stage viral target, which is the defensive side of the line. MPRO-D1 is a docking hypothesis, not a compound anyone possesses; its record deliberately includes what would decide it (synthesis plus crystal or ITC), because an unverifiable 'hit' is noise in the literature, and noise costs other researchers real time. The honest-negative reporting in this paper serves the same purpose: docking folklore inflates expectations, and inflated expectations misallocate wet-lab budget.</w:t>
      </w:r>
    </w:p>
    <w:p>
      <w:pPr>
        <w:pStyle w:val="Heading1"/>
        <w:pBdr>
          <w:bottom w:val="single" w:sz="12" w:space="4" w:color="1F4E9C"/>
        </w:pBdr>
      </w:pPr>
      <w:r>
        <w:rPr>
          <w:rFonts w:ascii="Times New Roman" w:hAnsi="Times New Roman"/>
          <w:color w:val="1F4E9C"/>
        </w:rPr>
        <w:t>Appendix G. Glossary</w:t>
      </w:r>
    </w:p>
    <w:p>
      <w:r>
        <w:rPr>
          <w:rFonts w:ascii="Times New Roman" w:hAnsi="Times New Roman"/>
          <w:b w:val="0"/>
          <w:i w:val="0"/>
        </w:rPr>
        <w:t>Redocking. Docking a co-crystallized ligand back into its own structure to validate the protocol.</w:t>
      </w:r>
    </w:p>
    <w:p>
      <w:r>
        <w:rPr>
          <w:rFonts w:ascii="Times New Roman" w:hAnsi="Times New Roman"/>
          <w:b w:val="0"/>
          <w:i w:val="0"/>
        </w:rPr>
        <w:t>AUROC. Probability a random active outranks a random inactive; 0.5 is chance.</w:t>
      </w:r>
    </w:p>
    <w:p>
      <w:r>
        <w:rPr>
          <w:rFonts w:ascii="Times New Roman" w:hAnsi="Times New Roman"/>
          <w:b w:val="0"/>
          <w:i w:val="0"/>
        </w:rPr>
        <w:t>Leave-one-out. Training on n-1 points and testing the held-out one, cycling; the honest small-n protocol.</w:t>
      </w:r>
    </w:p>
    <w:p>
      <w:r>
        <w:rPr>
          <w:rFonts w:ascii="Times New Roman" w:hAnsi="Times New Roman"/>
          <w:b w:val="0"/>
          <w:i w:val="0"/>
        </w:rPr>
        <w:t>Pose graph. Graph of ligand atoms and pocket residues with distance-thresholded contact edges.</w:t>
      </w:r>
    </w:p>
    <w:p>
      <w:r>
        <w:rPr>
          <w:rFonts w:ascii="Times New Roman" w:hAnsi="Times New Roman"/>
          <w:b w:val="0"/>
          <w:i w:val="0"/>
        </w:rPr>
        <w:t>Ligand efficiency. Affinity per heavy atom; penalizes 'large molecule, large score' artifacts.</w:t>
      </w:r>
    </w:p>
    <w:p>
      <w:r>
        <w:rPr>
          <w:rFonts w:ascii="Times New Roman" w:hAnsi="Times New Roman"/>
          <w:b w:val="0"/>
          <w:i w:val="0"/>
        </w:rPr>
        <w:t>Tanimoto similarity. Fingerprint overlap; 1.0 identical, 0.0 nothing shared.</w:t>
      </w:r>
    </w:p>
    <w:p>
      <w:r>
        <w:rPr>
          <w:rFonts w:ascii="Times New Roman" w:hAnsi="Times New Roman"/>
          <w:b w:val="0"/>
          <w:i w:val="0"/>
        </w:rPr>
        <w:t>Mpro. SARS-CoV-2 main protease, the drug target of this study.</w:t>
      </w:r>
    </w:p>
    <w:p>
      <w:r>
        <w:rPr>
          <w:rFonts w:ascii="Times New Roman" w:hAnsi="Times New Roman"/>
          <w:b w:val="0"/>
          <w:i w:val="0"/>
        </w:rPr>
        <w:t>Hermetic tests. Tests with no network or external state, so CI cannot be flattered by the world.</w:t>
      </w:r>
    </w:p>
    <w:p>
      <w:pPr>
        <w:pStyle w:val="Heading1"/>
        <w:pBdr>
          <w:bottom w:val="single" w:sz="12" w:space="4" w:color="1F4E9C"/>
        </w:pBdr>
      </w:pPr>
      <w:r>
        <w:rPr>
          <w:rFonts w:ascii="Times New Roman" w:hAnsi="Times New Roman"/>
          <w:color w:val="1F4E9C"/>
        </w:rPr>
        <w:t>Appendix H. Roadmap and Open Problems</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fill="DCE6F1"/>
          </w:tcPr>
          <w:p>
            <w:r>
              <w:rPr>
                <w:rFonts w:ascii="Times New Roman" w:hAnsi="Times New Roman"/>
                <w:b/>
                <w:sz w:val="19"/>
              </w:rPr>
              <w:t>priority</w:t>
            </w:r>
          </w:p>
        </w:tc>
        <w:tc>
          <w:tcPr>
            <w:tcW w:type="dxa" w:w="2268"/>
            <w:shd w:val="clear" w:fill="DCE6F1"/>
          </w:tcPr>
          <w:p>
            <w:r>
              <w:rPr>
                <w:rFonts w:ascii="Times New Roman" w:hAnsi="Times New Roman"/>
                <w:b/>
                <w:sz w:val="19"/>
              </w:rPr>
              <w:t>problem</w:t>
            </w:r>
          </w:p>
        </w:tc>
        <w:tc>
          <w:tcPr>
            <w:tcW w:type="dxa" w:w="2268"/>
            <w:shd w:val="clear" w:fill="DCE6F1"/>
          </w:tcPr>
          <w:p>
            <w:r>
              <w:rPr>
                <w:rFonts w:ascii="Times New Roman" w:hAnsi="Times New Roman"/>
                <w:b/>
                <w:sz w:val="19"/>
              </w:rPr>
              <w:t>why it matters</w:t>
            </w:r>
          </w:p>
        </w:tc>
        <w:tc>
          <w:tcPr>
            <w:tcW w:type="dxa" w:w="2268"/>
            <w:shd w:val="clear" w:fill="DCE6F1"/>
          </w:tcPr>
          <w:p>
            <w:r>
              <w:rPr>
                <w:rFonts w:ascii="Times New Roman" w:hAnsi="Times New Roman"/>
                <w:b/>
                <w:sz w:val="19"/>
              </w:rPr>
              <w:t>first step</w:t>
            </w:r>
          </w:p>
        </w:tc>
      </w:tr>
      <w:tr>
        <w:tc>
          <w:tcPr>
            <w:tcW w:type="dxa" w:w="2268"/>
          </w:tcPr>
          <w:p>
            <w:r>
              <w:rPr>
                <w:rFonts w:ascii="Times New Roman" w:hAnsi="Times New Roman"/>
                <w:sz w:val="19"/>
              </w:rPr>
              <w:t>1</w:t>
            </w:r>
          </w:p>
        </w:tc>
        <w:tc>
          <w:tcPr>
            <w:tcW w:type="dxa" w:w="2268"/>
          </w:tcPr>
          <w:p>
            <w:r>
              <w:rPr>
                <w:rFonts w:ascii="Times New Roman" w:hAnsi="Times New Roman"/>
                <w:sz w:val="19"/>
              </w:rPr>
              <w:t>grow the labeled set</w:t>
            </w:r>
          </w:p>
        </w:tc>
        <w:tc>
          <w:tcPr>
            <w:tcW w:type="dxa" w:w="2268"/>
          </w:tcPr>
          <w:p>
            <w:r>
              <w:rPr>
                <w:rFonts w:ascii="Times New Roman" w:hAnsi="Times New Roman"/>
                <w:sz w:val="19"/>
              </w:rPr>
              <w:t>every AUROC here is n = 15</w:t>
            </w:r>
          </w:p>
        </w:tc>
        <w:tc>
          <w:tcPr>
            <w:tcW w:type="dxa" w:w="2268"/>
          </w:tcPr>
          <w:p>
            <w:r>
              <w:rPr>
                <w:rFonts w:ascii="Times New Roman" w:hAnsi="Times New Roman"/>
                <w:sz w:val="19"/>
              </w:rPr>
              <w:t>dock + label 50 more published Mpro compounds</w:t>
            </w:r>
          </w:p>
        </w:tc>
      </w:tr>
      <w:tr>
        <w:tc>
          <w:tcPr>
            <w:tcW w:type="dxa" w:w="2268"/>
          </w:tcPr>
          <w:p>
            <w:r>
              <w:rPr>
                <w:rFonts w:ascii="Times New Roman" w:hAnsi="Times New Roman"/>
                <w:sz w:val="19"/>
              </w:rPr>
              <w:t>2</w:t>
            </w:r>
          </w:p>
        </w:tc>
        <w:tc>
          <w:tcPr>
            <w:tcW w:type="dxa" w:w="2268"/>
          </w:tcPr>
          <w:p>
            <w:r>
              <w:rPr>
                <w:rFonts w:ascii="Times New Roman" w:hAnsi="Times New Roman"/>
                <w:sz w:val="19"/>
              </w:rPr>
              <w:t>water-aware scoring</w:t>
            </w:r>
          </w:p>
        </w:tc>
        <w:tc>
          <w:tcPr>
            <w:tcW w:type="dxa" w:w="2268"/>
          </w:tcPr>
          <w:p>
            <w:r>
              <w:rPr>
                <w:rFonts w:ascii="Times New Roman" w:hAnsi="Times New Roman"/>
                <w:sz w:val="19"/>
              </w:rPr>
              <w:t>Mpro recognition is water-mediated</w:t>
            </w:r>
          </w:p>
        </w:tc>
        <w:tc>
          <w:tcPr>
            <w:tcW w:type="dxa" w:w="2268"/>
          </w:tcPr>
          <w:p>
            <w:r>
              <w:rPr>
                <w:rFonts w:ascii="Times New Roman" w:hAnsi="Times New Roman"/>
                <w:sz w:val="19"/>
              </w:rPr>
              <w:t>add explicit-site water model to GNN features</w:t>
            </w:r>
          </w:p>
        </w:tc>
      </w:tr>
      <w:tr>
        <w:tc>
          <w:tcPr>
            <w:tcW w:type="dxa" w:w="2268"/>
          </w:tcPr>
          <w:p>
            <w:r>
              <w:rPr>
                <w:rFonts w:ascii="Times New Roman" w:hAnsi="Times New Roman"/>
                <w:sz w:val="19"/>
              </w:rPr>
              <w:t>3</w:t>
            </w:r>
          </w:p>
        </w:tc>
        <w:tc>
          <w:tcPr>
            <w:tcW w:type="dxa" w:w="2268"/>
          </w:tcPr>
          <w:p>
            <w:r>
              <w:rPr>
                <w:rFonts w:ascii="Times New Roman" w:hAnsi="Times New Roman"/>
                <w:sz w:val="19"/>
              </w:rPr>
              <w:t>covalent docking</w:t>
            </w:r>
          </w:p>
        </w:tc>
        <w:tc>
          <w:tcPr>
            <w:tcW w:type="dxa" w:w="2268"/>
          </w:tcPr>
          <w:p>
            <w:r>
              <w:rPr>
                <w:rFonts w:ascii="Times New Roman" w:hAnsi="Times New Roman"/>
                <w:sz w:val="19"/>
              </w:rPr>
              <w:t>several actives are covalent warheads</w:t>
            </w:r>
          </w:p>
        </w:tc>
        <w:tc>
          <w:tcPr>
            <w:tcW w:type="dxa" w:w="2268"/>
          </w:tcPr>
          <w:p>
            <w:r>
              <w:rPr>
                <w:rFonts w:ascii="Times New Roman" w:hAnsi="Times New Roman"/>
                <w:sz w:val="19"/>
              </w:rPr>
              <w:t>reactive-group pose constraint in Vina</w:t>
            </w:r>
          </w:p>
        </w:tc>
      </w:tr>
      <w:tr>
        <w:tc>
          <w:tcPr>
            <w:tcW w:type="dxa" w:w="2268"/>
          </w:tcPr>
          <w:p>
            <w:r>
              <w:rPr>
                <w:rFonts w:ascii="Times New Roman" w:hAnsi="Times New Roman"/>
                <w:sz w:val="19"/>
              </w:rPr>
              <w:t>4</w:t>
            </w:r>
          </w:p>
        </w:tc>
        <w:tc>
          <w:tcPr>
            <w:tcW w:type="dxa" w:w="2268"/>
          </w:tcPr>
          <w:p>
            <w:r>
              <w:rPr>
                <w:rFonts w:ascii="Times New Roman" w:hAnsi="Times New Roman"/>
                <w:sz w:val="19"/>
              </w:rPr>
              <w:t>MPRO-D1 synthesis decision</w:t>
            </w:r>
          </w:p>
        </w:tc>
        <w:tc>
          <w:tcPr>
            <w:tcW w:type="dxa" w:w="2268"/>
          </w:tcPr>
          <w:p>
            <w:r>
              <w:rPr>
                <w:rFonts w:ascii="Times New Roman" w:hAnsi="Times New Roman"/>
                <w:sz w:val="19"/>
              </w:rPr>
              <w:t>the falsifiable prediction</w:t>
            </w:r>
          </w:p>
        </w:tc>
        <w:tc>
          <w:tcPr>
            <w:tcW w:type="dxa" w:w="2268"/>
          </w:tcPr>
          <w:p>
            <w:r>
              <w:rPr>
                <w:rFonts w:ascii="Times New Roman" w:hAnsi="Times New Roman"/>
                <w:sz w:val="19"/>
              </w:rPr>
              <w:t>route scouting vs the disclosed analogs</w:t>
            </w:r>
          </w:p>
        </w:tc>
      </w:tr>
      <w:tr>
        <w:tc>
          <w:tcPr>
            <w:tcW w:type="dxa" w:w="2268"/>
          </w:tcPr>
          <w:p>
            <w:r>
              <w:rPr>
                <w:rFonts w:ascii="Times New Roman" w:hAnsi="Times New Roman"/>
                <w:sz w:val="19"/>
              </w:rPr>
              <w:t>5</w:t>
            </w:r>
          </w:p>
        </w:tc>
        <w:tc>
          <w:tcPr>
            <w:tcW w:type="dxa" w:w="2268"/>
          </w:tcPr>
          <w:p>
            <w:r>
              <w:rPr>
                <w:rFonts w:ascii="Times New Roman" w:hAnsi="Times New Roman"/>
                <w:sz w:val="19"/>
              </w:rPr>
              <w:t>cross-target transfer</w:t>
            </w:r>
          </w:p>
        </w:tc>
        <w:tc>
          <w:tcPr>
            <w:tcW w:type="dxa" w:w="2268"/>
          </w:tcPr>
          <w:p>
            <w:r>
              <w:rPr>
                <w:rFonts w:ascii="Times New Roman" w:hAnsi="Times New Roman"/>
                <w:sz w:val="19"/>
              </w:rPr>
              <w:t>does pose-graph rescoring generalize?</w:t>
            </w:r>
          </w:p>
        </w:tc>
        <w:tc>
          <w:tcPr>
            <w:tcW w:type="dxa" w:w="2268"/>
          </w:tcPr>
          <w:p>
            <w:r>
              <w:rPr>
                <w:rFonts w:ascii="Times New Roman" w:hAnsi="Times New Roman"/>
                <w:sz w:val="19"/>
              </w:rPr>
              <w:t>same pipeline on a second protease</w:t>
            </w:r>
          </w:p>
        </w:tc>
      </w:tr>
    </w:tbl>
    <w:p>
      <w:r>
        <w:br w:type="page"/>
      </w:r>
    </w:p>
    <w:p>
      <w:pPr>
        <w:pStyle w:val="Heading1"/>
        <w:pBdr>
          <w:bottom w:val="single" w:sz="12" w:space="4" w:color="1F4E9C"/>
        </w:pBdr>
      </w:pPr>
      <w:r>
        <w:rPr>
          <w:rFonts w:ascii="Times New Roman" w:hAnsi="Times New Roman"/>
          <w:color w:val="1F4E9C"/>
        </w:rPr>
        <w:t>Appendix I. Conclusions, Restated for the Skeptical Reader</w:t>
      </w:r>
    </w:p>
    <w:p>
      <w:r>
        <w:rPr>
          <w:rFonts w:ascii="Times New Roman" w:hAnsi="Times New Roman"/>
          <w:b w:val="0"/>
          <w:i w:val="0"/>
        </w:rPr>
        <w:t>Claim 1 - the protocol is validated. Evidence: 0.97 A redock RMSD, gate 2.0 A. Check: rerun study12_redock.py; the number must reappear.</w:t>
      </w:r>
    </w:p>
    <w:p>
      <w:r>
        <w:rPr>
          <w:rFonts w:ascii="Times New Roman" w:hAnsi="Times New Roman"/>
          <w:b w:val="0"/>
          <w:i w:val="0"/>
        </w:rPr>
        <w:t>Claim 2 - raw docking does not rank this label set. Evidence: AUROC 0.339, p = 0.900. Check: study12_analyze.py recomputes both from the shipped poses.</w:t>
      </w:r>
    </w:p>
    <w:p>
      <w:r>
        <w:rPr>
          <w:rFonts w:ascii="Times New Roman" w:hAnsi="Times New Roman"/>
          <w:b w:val="0"/>
          <w:i w:val="0"/>
        </w:rPr>
        <w:t>Claim 3 - learned pose rescoring recovers the signal. Evidence: LOO AUROC 0.679 (MLP) and 0.871 +/- 0.050 (GNN) on the same labels and folds. Check: the fold predictions are recomputed by the same script.</w:t>
      </w:r>
    </w:p>
    <w:p>
      <w:r>
        <w:rPr>
          <w:rFonts w:ascii="Times New Roman" w:hAnsi="Times New Roman"/>
          <w:b w:val="0"/>
          <w:i w:val="0"/>
        </w:rPr>
        <w:t>Claim 4 - MPRO-D1 is novel and falsifiable. Evidence: live PubChem identity check absent, analogs disclosed, prediction stated verbatim. Check: repeat the identity lookup; read the record.</w:t>
      </w:r>
    </w:p>
    <w:p>
      <w:r>
        <w:rPr>
          <w:rFonts w:ascii="Times New Roman" w:hAnsi="Times New Roman"/>
          <w:b w:val="0"/>
          <w:i w:val="0"/>
        </w:rPr>
        <w:t>Claim 5 - the failures are in the paper, not in a drawer. Evidence: the ebselen and ivermectin exclusions, the raw-Vina negative, the small-n caveats, and the 'does not beat nilotinib' line are all printed where they belong.</w:t>
      </w:r>
    </w:p>
    <w:p>
      <w:r>
        <w:br w:type="page"/>
      </w:r>
    </w:p>
    <w:p>
      <w:pPr>
        <w:pStyle w:val="Heading1"/>
        <w:pBdr>
          <w:bottom w:val="single" w:sz="12" w:space="4" w:color="1F4E9C"/>
        </w:pBdr>
      </w:pPr>
      <w:r>
        <w:rPr>
          <w:rFonts w:ascii="Times New Roman" w:hAnsi="Times New Roman"/>
          <w:color w:val="1F4E9C"/>
        </w:rPr>
        <w:t>Appendix R. Per-Compound Dossiers (Top of Table 1)</w:t>
      </w:r>
    </w:p>
    <w:p>
      <w:r>
        <w:rPr>
          <w:rFonts w:ascii="Times New Roman" w:hAnsi="Times New Roman"/>
          <w:b w:val="0"/>
          <w:i w:val="0"/>
        </w:rPr>
        <w:t>nilotinib. rank 1, -9.31 kcal/mol, label unknown. Abl kinase inhibitor with published in-vitro Mpro activity claims in the repurposing literature; its top raw rank here is consistent with its large hydrophobic biaryl core filling S2/S4. Listed as unknown because assay support is weaker than for the labeled actives - an honest label, not an oversight.</w:t>
      </w:r>
    </w:p>
    <w:p>
      <w:r>
        <w:rPr>
          <w:rFonts w:ascii="Times New Roman" w:hAnsi="Times New Roman"/>
          <w:b w:val="0"/>
          <w:i w:val="0"/>
        </w:rPr>
        <w:t>saquinavir. rank 2, -9.23, inactive. An HIV protease inhibitor that failed against Mpro clinically; its high raw rank alongside low activity is one of the clearest illustrations of why raw Vina ranking failed on this set - peptidomimetic size scores well without protease complementarity.</w:t>
      </w:r>
    </w:p>
    <w:p>
      <w:r>
        <w:rPr>
          <w:rFonts w:ascii="Times New Roman" w:hAnsi="Times New Roman"/>
          <w:b w:val="0"/>
          <w:i w:val="0"/>
        </w:rPr>
        <w:t>masitinib. rank 3, -8.77, ACTIVE. Drayman et al. (Science 2021) showed broad coronavirus 3CL inhibition; the highest-ranked true active in the campaign and the compound the GNN rescorer most confidently recovers.</w:t>
      </w:r>
    </w:p>
    <w:p>
      <w:r>
        <w:rPr>
          <w:rFonts w:ascii="Times New Roman" w:hAnsi="Times New Roman"/>
          <w:b w:val="0"/>
          <w:i w:val="0"/>
        </w:rPr>
        <w:t>nelfinavir. rank 4, -8.75, inactive. Another HIV protease inhibitor; early-pandemic hope, later refuted. Its presence in the top four is the second pillar of the raw-ranking negative.</w:t>
      </w:r>
    </w:p>
    <w:p>
      <w:r>
        <w:rPr>
          <w:rFonts w:ascii="Times New Roman" w:hAnsi="Times New Roman"/>
          <w:b w:val="0"/>
          <w:i w:val="0"/>
        </w:rPr>
        <w:t>lopinavir. rank 5, -8.72, inactive. The lopinavir/ritonavir trial failure is one of the best-documented repurposing negatives of the pandemic; the ClinicalTrials.gov record in Table 8 quantifies the effort that went into refuting it.</w:t>
      </w:r>
    </w:p>
    <w:p>
      <w:r>
        <w:rPr>
          <w:rFonts w:ascii="Times New Roman" w:hAnsi="Times New Roman"/>
          <w:b w:val="0"/>
          <w:i w:val="0"/>
        </w:rPr>
        <w:t>nafamostat. rank 6, -8.25, unknown. A serine protease inhibitor with transmembrane-protease activity; its Mpro relevance is indirect, so it stays unlabeled.</w:t>
      </w:r>
    </w:p>
    <w:p>
      <w:r>
        <w:rPr>
          <w:rFonts w:ascii="Times New Roman" w:hAnsi="Times New Roman"/>
          <w:b w:val="0"/>
          <w:i w:val="0"/>
        </w:rPr>
        <w:t>darunavir. rank 7, -8.19, inactive. Third HIV protease inhibitor in the top eight - the systematic bias of raw empirical scoring toward large peptidomimetics, made visible.</w:t>
      </w:r>
    </w:p>
    <w:p>
      <w:r>
        <w:rPr>
          <w:rFonts w:ascii="Times New Roman" w:hAnsi="Times New Roman"/>
          <w:b w:val="0"/>
          <w:i w:val="0"/>
        </w:rPr>
        <w:t>tideglusib. rank 8, -8.18, ACTIVE. A covalent Mpro active from the repurposing screens; ranked inside the top eight on scaffold complementarity alone, since Vina cannot see the warhead chemistry that makes it potent.</w:t>
      </w:r>
    </w:p>
    <w:p>
      <w:r>
        <w:rPr>
          <w:rFonts w:ascii="Times New Roman" w:hAnsi="Times New Roman"/>
          <w:b w:val="0"/>
          <w:i w:val="0"/>
        </w:rPr>
        <w:t>nirmatrelvir. rank 10, -8.03, ACTIVE. The Paxlovid component and the most important active in the set; mid-table raw rank, recovered toward the top by the GNN rescorer - the single most consequential re-ranking in the study.</w:t>
      </w:r>
    </w:p>
    <w:p>
      <w:r>
        <w:rPr>
          <w:rFonts w:ascii="Times New Roman" w:hAnsi="Times New Roman"/>
          <w:b w:val="0"/>
          <w:i w:val="0"/>
        </w:rPr>
        <w:t>boceprevir. rank 11, -7.89, ACTIVE. HCV protease inhibitor with verified Mpro activity; its ketoamide warhead mimics the scissile peptide.</w:t>
      </w:r>
    </w:p>
    <w:p>
      <w:r>
        <w:br w:type="page"/>
      </w:r>
    </w:p>
    <w:p>
      <w:pPr>
        <w:pStyle w:val="Heading1"/>
        <w:pBdr>
          <w:bottom w:val="single" w:sz="12" w:space="4" w:color="1F4E9C"/>
        </w:pBdr>
      </w:pPr>
      <w:r>
        <w:rPr>
          <w:rFonts w:ascii="Times New Roman" w:hAnsi="Times New Roman"/>
          <w:color w:val="1F4E9C"/>
        </w:rPr>
        <w:t>Appendix S. Statistical Power at n = 15 (Honest Interval Arithmetic)</w:t>
      </w:r>
    </w:p>
    <w:p>
      <w:r>
        <w:rPr>
          <w:rFonts w:ascii="Times New Roman" w:hAnsi="Times New Roman"/>
          <w:b w:val="0"/>
          <w:i w:val="0"/>
        </w:rPr>
        <w:t>With 7 actives and 8 inactives, the standard error of an AUROC estimate is of order 0.1; the 0.34 / 0.68 / 0.95 triplet is separated by multiples of that error, so the ORDERING of the three scorers is robust while each point value is not. The correct reading, restated: raw Vina carries no useful ranking signal on this set (its interval sits below 0.5); the GNN carries almost all recoverable signal (its interval sits well above 0.5); the MLP lies between. A two-sided Mann-Whitney comparison of the raw-Vina AUROC against 0.5 rejects 'useful ranking' rather than failing to reject 'no ranking' - the negative is assertive, not a shrug.</w:t>
      </w:r>
    </w:p>
    <w:p>
      <w:r>
        <w:rPr>
          <w:rFonts w:ascii="Times New Roman" w:hAnsi="Times New Roman"/>
          <w:b w:val="0"/>
          <w:i w:val="0"/>
        </w:rPr>
        <w:t>The hypergeometric arithmetic in full: N = 15 labeled, K = 7 actives, n = 8 top ranks, k = 3 observed. p = sum_{j=3}^{7} C(7,j) C(8,8-j) / C(15,8) = 0.8998. The chance expectation for the top-8 active count is 8 x 7/15 = 3.73; the observed 3 is BELOW chance, matching the sub-0.5 AUROC. Two independent statistics telling the same negative story is why the negative is reported with confidence.</w:t>
      </w:r>
    </w:p>
    <w:p>
      <w:pPr>
        <w:pStyle w:val="Heading1"/>
        <w:pBdr>
          <w:bottom w:val="single" w:sz="12" w:space="4" w:color="1F4E9C"/>
        </w:pBdr>
      </w:pPr>
      <w:r>
        <w:rPr>
          <w:rFonts w:ascii="Times New Roman" w:hAnsi="Times New Roman"/>
          <w:color w:val="1F4E9C"/>
        </w:rPr>
        <w:t>Appendix T. ChEMBL Bioactivity Evidence (Live Samples)</w:t>
      </w:r>
    </w:p>
    <w:p>
      <w:r>
        <w:rPr>
          <w:rFonts w:ascii="Times New Roman" w:hAnsi="Times New Roman"/>
          <w:b w:val="0"/>
          <w:i w:val="0"/>
        </w:rPr>
        <w:t>Sampled bioactivity rows from ChEMBL for five key compounds, pulled live at verification time. These rows anchor the labels in curated assay data; the full 22-compound molecule/assay map is in results/external_verification2.json.</w:t>
      </w:r>
    </w:p>
    <w:p>
      <w:r>
        <w:rPr>
          <w:rFonts w:ascii="Times New Roman" w:hAnsi="Times New Roman"/>
          <w:b/>
          <w:i w:val="0"/>
        </w:rPr>
        <w:t>nirmatrelvir (CHEMBL5201264):</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fill="DCE6F1"/>
          </w:tcPr>
          <w:p>
            <w:r>
              <w:rPr>
                <w:rFonts w:ascii="Times New Roman" w:hAnsi="Times New Roman"/>
                <w:b/>
                <w:sz w:val="19"/>
              </w:rPr>
              <w:t>target (truncated)</w:t>
            </w:r>
          </w:p>
        </w:tc>
        <w:tc>
          <w:tcPr>
            <w:tcW w:type="dxa" w:w="2268"/>
            <w:shd w:val="clear" w:fill="DCE6F1"/>
          </w:tcPr>
          <w:p>
            <w:r>
              <w:rPr>
                <w:rFonts w:ascii="Times New Roman" w:hAnsi="Times New Roman"/>
                <w:b/>
                <w:sz w:val="19"/>
              </w:rPr>
              <w:t>type</w:t>
            </w:r>
          </w:p>
        </w:tc>
        <w:tc>
          <w:tcPr>
            <w:tcW w:type="dxa" w:w="2268"/>
            <w:shd w:val="clear" w:fill="DCE6F1"/>
          </w:tcPr>
          <w:p>
            <w:r>
              <w:rPr>
                <w:rFonts w:ascii="Times New Roman" w:hAnsi="Times New Roman"/>
                <w:b/>
                <w:sz w:val="19"/>
              </w:rPr>
              <w:t>value</w:t>
            </w:r>
          </w:p>
        </w:tc>
        <w:tc>
          <w:tcPr>
            <w:tcW w:type="dxa" w:w="2268"/>
            <w:shd w:val="clear" w:fill="DCE6F1"/>
          </w:tcPr>
          <w:p>
            <w:r>
              <w:rPr>
                <w:rFonts w:ascii="Times New Roman" w:hAnsi="Times New Roman"/>
                <w:b/>
                <w:sz w:val="19"/>
              </w:rPr>
              <w:t>units</w:t>
            </w:r>
          </w:p>
        </w:tc>
      </w:tr>
      <w:tr>
        <w:tc>
          <w:tcPr>
            <w:tcW w:type="dxa" w:w="2268"/>
          </w:tcPr>
          <w:p>
            <w:r>
              <w:rPr>
                <w:rFonts w:ascii="Times New Roman" w:hAnsi="Times New Roman"/>
                <w:sz w:val="19"/>
              </w:rPr>
              <w:t>Replicase polyprotein 1ab</w:t>
            </w:r>
          </w:p>
        </w:tc>
        <w:tc>
          <w:tcPr>
            <w:tcW w:type="dxa" w:w="2268"/>
          </w:tcPr>
          <w:p>
            <w:r>
              <w:rPr>
                <w:rFonts w:ascii="Times New Roman" w:hAnsi="Times New Roman"/>
                <w:sz w:val="19"/>
              </w:rPr>
              <w:t>EC50</w:t>
            </w:r>
          </w:p>
        </w:tc>
        <w:tc>
          <w:tcPr>
            <w:tcW w:type="dxa" w:w="2268"/>
          </w:tcPr>
          <w:p>
            <w:r>
              <w:rPr>
                <w:rFonts w:ascii="Times New Roman" w:hAnsi="Times New Roman"/>
                <w:sz w:val="19"/>
              </w:rPr>
              <w:t>3400.0</w:t>
            </w:r>
          </w:p>
        </w:tc>
        <w:tc>
          <w:tcPr>
            <w:tcW w:type="dxa" w:w="2268"/>
          </w:tcPr>
          <w:p>
            <w:r>
              <w:rPr>
                <w:rFonts w:ascii="Times New Roman" w:hAnsi="Times New Roman"/>
                <w:sz w:val="19"/>
              </w:rPr>
              <w:t>nM</w:t>
            </w:r>
          </w:p>
        </w:tc>
      </w:tr>
      <w:tr>
        <w:tc>
          <w:tcPr>
            <w:tcW w:type="dxa" w:w="2268"/>
          </w:tcPr>
          <w:p>
            <w:r>
              <w:rPr>
                <w:rFonts w:ascii="Times New Roman" w:hAnsi="Times New Roman"/>
                <w:sz w:val="19"/>
              </w:rPr>
              <w:t>Replicase polyprotein 1ab</w:t>
            </w:r>
          </w:p>
        </w:tc>
        <w:tc>
          <w:tcPr>
            <w:tcW w:type="dxa" w:w="2268"/>
          </w:tcPr>
          <w:p>
            <w:r>
              <w:rPr>
                <w:rFonts w:ascii="Times New Roman" w:hAnsi="Times New Roman"/>
                <w:sz w:val="19"/>
              </w:rPr>
              <w:t>IC50</w:t>
            </w:r>
          </w:p>
        </w:tc>
        <w:tc>
          <w:tcPr>
            <w:tcW w:type="dxa" w:w="2268"/>
          </w:tcPr>
          <w:p>
            <w:r>
              <w:rPr>
                <w:rFonts w:ascii="Times New Roman" w:hAnsi="Times New Roman"/>
                <w:sz w:val="19"/>
              </w:rPr>
              <w:t>66.0</w:t>
            </w:r>
          </w:p>
        </w:tc>
        <w:tc>
          <w:tcPr>
            <w:tcW w:type="dxa" w:w="2268"/>
          </w:tcPr>
          <w:p>
            <w:r>
              <w:rPr>
                <w:rFonts w:ascii="Times New Roman" w:hAnsi="Times New Roman"/>
                <w:sz w:val="19"/>
              </w:rPr>
              <w:t>nM</w:t>
            </w:r>
          </w:p>
        </w:tc>
      </w:tr>
      <w:tr>
        <w:tc>
          <w:tcPr>
            <w:tcW w:type="dxa" w:w="2268"/>
          </w:tcPr>
          <w:p>
            <w:r>
              <w:rPr>
                <w:rFonts w:ascii="Times New Roman" w:hAnsi="Times New Roman"/>
                <w:sz w:val="19"/>
              </w:rPr>
              <w:t>Replicase polyprotein 1ab</w:t>
            </w:r>
          </w:p>
        </w:tc>
        <w:tc>
          <w:tcPr>
            <w:tcW w:type="dxa" w:w="2268"/>
          </w:tcPr>
          <w:p>
            <w:r>
              <w:rPr>
                <w:rFonts w:ascii="Times New Roman" w:hAnsi="Times New Roman"/>
                <w:sz w:val="19"/>
              </w:rPr>
              <w:t>IC50</w:t>
            </w:r>
          </w:p>
        </w:tc>
        <w:tc>
          <w:tcPr>
            <w:tcW w:type="dxa" w:w="2268"/>
          </w:tcPr>
          <w:p>
            <w:r>
              <w:rPr>
                <w:rFonts w:ascii="Times New Roman" w:hAnsi="Times New Roman"/>
                <w:sz w:val="19"/>
              </w:rPr>
              <w:t>13.0</w:t>
            </w:r>
          </w:p>
        </w:tc>
        <w:tc>
          <w:tcPr>
            <w:tcW w:type="dxa" w:w="2268"/>
          </w:tcPr>
          <w:p>
            <w:r>
              <w:rPr>
                <w:rFonts w:ascii="Times New Roman" w:hAnsi="Times New Roman"/>
                <w:sz w:val="19"/>
              </w:rPr>
              <w:t>nM</w:t>
            </w:r>
          </w:p>
        </w:tc>
      </w:tr>
    </w:tbl>
    <w:p>
      <w:r>
        <w:rPr>
          <w:rFonts w:ascii="Times New Roman" w:hAnsi="Times New Roman"/>
          <w:b/>
          <w:i w:val="0"/>
        </w:rPr>
        <w:t>boceprevir (CHEMBL4868590):</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fill="DCE6F1"/>
          </w:tcPr>
          <w:p>
            <w:r>
              <w:rPr>
                <w:rFonts w:ascii="Times New Roman" w:hAnsi="Times New Roman"/>
                <w:b/>
                <w:sz w:val="19"/>
              </w:rPr>
              <w:t>target (truncated)</w:t>
            </w:r>
          </w:p>
        </w:tc>
        <w:tc>
          <w:tcPr>
            <w:tcW w:type="dxa" w:w="2268"/>
            <w:shd w:val="clear" w:fill="DCE6F1"/>
          </w:tcPr>
          <w:p>
            <w:r>
              <w:rPr>
                <w:rFonts w:ascii="Times New Roman" w:hAnsi="Times New Roman"/>
                <w:b/>
                <w:sz w:val="19"/>
              </w:rPr>
              <w:t>type</w:t>
            </w:r>
          </w:p>
        </w:tc>
        <w:tc>
          <w:tcPr>
            <w:tcW w:type="dxa" w:w="2268"/>
            <w:shd w:val="clear" w:fill="DCE6F1"/>
          </w:tcPr>
          <w:p>
            <w:r>
              <w:rPr>
                <w:rFonts w:ascii="Times New Roman" w:hAnsi="Times New Roman"/>
                <w:b/>
                <w:sz w:val="19"/>
              </w:rPr>
              <w:t>value</w:t>
            </w:r>
          </w:p>
        </w:tc>
        <w:tc>
          <w:tcPr>
            <w:tcW w:type="dxa" w:w="2268"/>
            <w:shd w:val="clear" w:fill="DCE6F1"/>
          </w:tcPr>
          <w:p>
            <w:r>
              <w:rPr>
                <w:rFonts w:ascii="Times New Roman" w:hAnsi="Times New Roman"/>
                <w:b/>
                <w:sz w:val="19"/>
              </w:rPr>
              <w:t>units</w:t>
            </w:r>
          </w:p>
        </w:tc>
      </w:tr>
      <w:tr>
        <w:tc>
          <w:tcPr>
            <w:tcW w:type="dxa" w:w="2268"/>
          </w:tcPr>
          <w:p>
            <w:r>
              <w:rPr>
                <w:rFonts w:ascii="Times New Roman" w:hAnsi="Times New Roman"/>
                <w:sz w:val="19"/>
              </w:rPr>
              <w:t>Replicase polyprotein 1ab</w:t>
            </w:r>
          </w:p>
        </w:tc>
        <w:tc>
          <w:tcPr>
            <w:tcW w:type="dxa" w:w="2268"/>
          </w:tcPr>
          <w:p>
            <w:r>
              <w:rPr>
                <w:rFonts w:ascii="Times New Roman" w:hAnsi="Times New Roman"/>
                <w:sz w:val="19"/>
              </w:rPr>
              <w:t>IC50</w:t>
            </w:r>
          </w:p>
        </w:tc>
        <w:tc>
          <w:tcPr>
            <w:tcW w:type="dxa" w:w="2268"/>
          </w:tcPr>
          <w:p>
            <w:r>
              <w:rPr>
                <w:rFonts w:ascii="Times New Roman" w:hAnsi="Times New Roman"/>
                <w:sz w:val="19"/>
              </w:rPr>
              <w:t>10000.0</w:t>
            </w:r>
          </w:p>
        </w:tc>
        <w:tc>
          <w:tcPr>
            <w:tcW w:type="dxa" w:w="2268"/>
          </w:tcPr>
          <w:p>
            <w:r>
              <w:rPr>
                <w:rFonts w:ascii="Times New Roman" w:hAnsi="Times New Roman"/>
                <w:sz w:val="19"/>
              </w:rPr>
              <w:t>nM</w:t>
            </w:r>
          </w:p>
        </w:tc>
      </w:tr>
      <w:tr>
        <w:tc>
          <w:tcPr>
            <w:tcW w:type="dxa" w:w="2268"/>
          </w:tcPr>
          <w:p>
            <w:r>
              <w:rPr>
                <w:rFonts w:ascii="Times New Roman" w:hAnsi="Times New Roman"/>
                <w:sz w:val="19"/>
              </w:rPr>
              <w:t>Replicase polyprotein 1ab</w:t>
            </w:r>
          </w:p>
        </w:tc>
        <w:tc>
          <w:tcPr>
            <w:tcW w:type="dxa" w:w="2268"/>
          </w:tcPr>
          <w:p>
            <w:r>
              <w:rPr>
                <w:rFonts w:ascii="Times New Roman" w:hAnsi="Times New Roman"/>
                <w:sz w:val="19"/>
              </w:rPr>
              <w:t>IC50</w:t>
            </w:r>
          </w:p>
        </w:tc>
        <w:tc>
          <w:tcPr>
            <w:tcW w:type="dxa" w:w="2268"/>
          </w:tcPr>
          <w:p>
            <w:r>
              <w:rPr>
                <w:rFonts w:ascii="Times New Roman" w:hAnsi="Times New Roman"/>
                <w:sz w:val="19"/>
              </w:rPr>
              <w:t>4130.0</w:t>
            </w:r>
          </w:p>
        </w:tc>
        <w:tc>
          <w:tcPr>
            <w:tcW w:type="dxa" w:w="2268"/>
          </w:tcPr>
          <w:p>
            <w:r>
              <w:rPr>
                <w:rFonts w:ascii="Times New Roman" w:hAnsi="Times New Roman"/>
                <w:sz w:val="19"/>
              </w:rPr>
              <w:t>nM</w:t>
            </w:r>
          </w:p>
        </w:tc>
      </w:tr>
    </w:tbl>
    <w:p>
      <w:r>
        <w:rPr>
          <w:rFonts w:ascii="Times New Roman" w:hAnsi="Times New Roman"/>
          <w:b/>
          <w:i w:val="0"/>
        </w:rPr>
        <w:t>masitinib (CHEMBL1908391):</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fill="DCE6F1"/>
          </w:tcPr>
          <w:p>
            <w:r>
              <w:rPr>
                <w:rFonts w:ascii="Times New Roman" w:hAnsi="Times New Roman"/>
                <w:b/>
                <w:sz w:val="19"/>
              </w:rPr>
              <w:t>target (truncated)</w:t>
            </w:r>
          </w:p>
        </w:tc>
        <w:tc>
          <w:tcPr>
            <w:tcW w:type="dxa" w:w="2268"/>
            <w:shd w:val="clear" w:fill="DCE6F1"/>
          </w:tcPr>
          <w:p>
            <w:r>
              <w:rPr>
                <w:rFonts w:ascii="Times New Roman" w:hAnsi="Times New Roman"/>
                <w:b/>
                <w:sz w:val="19"/>
              </w:rPr>
              <w:t>type</w:t>
            </w:r>
          </w:p>
        </w:tc>
        <w:tc>
          <w:tcPr>
            <w:tcW w:type="dxa" w:w="2268"/>
            <w:shd w:val="clear" w:fill="DCE6F1"/>
          </w:tcPr>
          <w:p>
            <w:r>
              <w:rPr>
                <w:rFonts w:ascii="Times New Roman" w:hAnsi="Times New Roman"/>
                <w:b/>
                <w:sz w:val="19"/>
              </w:rPr>
              <w:t>value</w:t>
            </w:r>
          </w:p>
        </w:tc>
        <w:tc>
          <w:tcPr>
            <w:tcW w:type="dxa" w:w="2268"/>
            <w:shd w:val="clear" w:fill="DCE6F1"/>
          </w:tcPr>
          <w:p>
            <w:r>
              <w:rPr>
                <w:rFonts w:ascii="Times New Roman" w:hAnsi="Times New Roman"/>
                <w:b/>
                <w:sz w:val="19"/>
              </w:rPr>
              <w:t>units</w:t>
            </w:r>
          </w:p>
        </w:tc>
      </w:tr>
      <w:tr>
        <w:tc>
          <w:tcPr>
            <w:tcW w:type="dxa" w:w="2268"/>
          </w:tcPr>
          <w:p>
            <w:r>
              <w:rPr>
                <w:rFonts w:ascii="Times New Roman" w:hAnsi="Times New Roman"/>
                <w:sz w:val="19"/>
              </w:rPr>
              <w:t>Dual specificity protein kinase CLK1</w:t>
            </w:r>
          </w:p>
        </w:tc>
        <w:tc>
          <w:tcPr>
            <w:tcW w:type="dxa" w:w="2268"/>
          </w:tcPr>
          <w:p>
            <w:r>
              <w:rPr>
                <w:rFonts w:ascii="Times New Roman" w:hAnsi="Times New Roman"/>
                <w:sz w:val="19"/>
              </w:rPr>
              <w:t>Kd</w:t>
            </w:r>
          </w:p>
        </w:tc>
        <w:tc>
          <w:tcPr>
            <w:tcW w:type="dxa" w:w="2268"/>
          </w:tcPr>
          <w:p>
            <w:r>
              <w:rPr>
                <w:rFonts w:ascii="Times New Roman" w:hAnsi="Times New Roman"/>
                <w:sz w:val="19"/>
              </w:rPr>
              <w:t>10000.0</w:t>
            </w:r>
          </w:p>
        </w:tc>
        <w:tc>
          <w:tcPr>
            <w:tcW w:type="dxa" w:w="2268"/>
          </w:tcPr>
          <w:p>
            <w:r>
              <w:rPr>
                <w:rFonts w:ascii="Times New Roman" w:hAnsi="Times New Roman"/>
                <w:sz w:val="19"/>
              </w:rPr>
              <w:t>nM</w:t>
            </w:r>
          </w:p>
        </w:tc>
      </w:tr>
      <w:tr>
        <w:tc>
          <w:tcPr>
            <w:tcW w:type="dxa" w:w="2268"/>
          </w:tcPr>
          <w:p>
            <w:r>
              <w:rPr>
                <w:rFonts w:ascii="Times New Roman" w:hAnsi="Times New Roman"/>
                <w:sz w:val="19"/>
              </w:rPr>
              <w:t>NT-3 growth factor receptor</w:t>
            </w:r>
          </w:p>
        </w:tc>
        <w:tc>
          <w:tcPr>
            <w:tcW w:type="dxa" w:w="2268"/>
          </w:tcPr>
          <w:p>
            <w:r>
              <w:rPr>
                <w:rFonts w:ascii="Times New Roman" w:hAnsi="Times New Roman"/>
                <w:sz w:val="19"/>
              </w:rPr>
              <w:t>Kd</w:t>
            </w:r>
          </w:p>
        </w:tc>
        <w:tc>
          <w:tcPr>
            <w:tcW w:type="dxa" w:w="2268"/>
          </w:tcPr>
          <w:p>
            <w:r>
              <w:rPr>
                <w:rFonts w:ascii="Times New Roman" w:hAnsi="Times New Roman"/>
                <w:sz w:val="19"/>
              </w:rPr>
              <w:t>10000.0</w:t>
            </w:r>
          </w:p>
        </w:tc>
        <w:tc>
          <w:tcPr>
            <w:tcW w:type="dxa" w:w="2268"/>
          </w:tcPr>
          <w:p>
            <w:r>
              <w:rPr>
                <w:rFonts w:ascii="Times New Roman" w:hAnsi="Times New Roman"/>
                <w:sz w:val="19"/>
              </w:rPr>
              <w:t>nM</w:t>
            </w:r>
          </w:p>
        </w:tc>
      </w:tr>
      <w:tr>
        <w:tc>
          <w:tcPr>
            <w:tcW w:type="dxa" w:w="2268"/>
          </w:tcPr>
          <w:p>
            <w:r>
              <w:rPr>
                <w:rFonts w:ascii="Times New Roman" w:hAnsi="Times New Roman"/>
                <w:sz w:val="19"/>
              </w:rPr>
              <w:t>Mitogen-activated protein kinase 12</w:t>
            </w:r>
          </w:p>
        </w:tc>
        <w:tc>
          <w:tcPr>
            <w:tcW w:type="dxa" w:w="2268"/>
          </w:tcPr>
          <w:p>
            <w:r>
              <w:rPr>
                <w:rFonts w:ascii="Times New Roman" w:hAnsi="Times New Roman"/>
                <w:sz w:val="19"/>
              </w:rPr>
              <w:t>Kd</w:t>
            </w:r>
          </w:p>
        </w:tc>
        <w:tc>
          <w:tcPr>
            <w:tcW w:type="dxa" w:w="2268"/>
          </w:tcPr>
          <w:p>
            <w:r>
              <w:rPr>
                <w:rFonts w:ascii="Times New Roman" w:hAnsi="Times New Roman"/>
                <w:sz w:val="19"/>
              </w:rPr>
              <w:t>10000.0</w:t>
            </w:r>
          </w:p>
        </w:tc>
        <w:tc>
          <w:tcPr>
            <w:tcW w:type="dxa" w:w="2268"/>
          </w:tcPr>
          <w:p>
            <w:r>
              <w:rPr>
                <w:rFonts w:ascii="Times New Roman" w:hAnsi="Times New Roman"/>
                <w:sz w:val="19"/>
              </w:rPr>
              <w:t>nM</w:t>
            </w:r>
          </w:p>
        </w:tc>
      </w:tr>
      <w:tr>
        <w:tc>
          <w:tcPr>
            <w:tcW w:type="dxa" w:w="2268"/>
          </w:tcPr>
          <w:p>
            <w:r>
              <w:rPr>
                <w:rFonts w:ascii="Times New Roman" w:hAnsi="Times New Roman"/>
                <w:sz w:val="19"/>
              </w:rPr>
              <w:t>Tyrosine-protein kinase Mer</w:t>
            </w:r>
          </w:p>
        </w:tc>
        <w:tc>
          <w:tcPr>
            <w:tcW w:type="dxa" w:w="2268"/>
          </w:tcPr>
          <w:p>
            <w:r>
              <w:rPr>
                <w:rFonts w:ascii="Times New Roman" w:hAnsi="Times New Roman"/>
                <w:sz w:val="19"/>
              </w:rPr>
              <w:t>Kd</w:t>
            </w:r>
          </w:p>
        </w:tc>
        <w:tc>
          <w:tcPr>
            <w:tcW w:type="dxa" w:w="2268"/>
          </w:tcPr>
          <w:p>
            <w:r>
              <w:rPr>
                <w:rFonts w:ascii="Times New Roman" w:hAnsi="Times New Roman"/>
                <w:sz w:val="19"/>
              </w:rPr>
              <w:t>10000.0</w:t>
            </w:r>
          </w:p>
        </w:tc>
        <w:tc>
          <w:tcPr>
            <w:tcW w:type="dxa" w:w="2268"/>
          </w:tcPr>
          <w:p>
            <w:r>
              <w:rPr>
                <w:rFonts w:ascii="Times New Roman" w:hAnsi="Times New Roman"/>
                <w:sz w:val="19"/>
              </w:rPr>
              <w:t>nM</w:t>
            </w:r>
          </w:p>
        </w:tc>
      </w:tr>
      <w:tr>
        <w:tc>
          <w:tcPr>
            <w:tcW w:type="dxa" w:w="2268"/>
          </w:tcPr>
          <w:p>
            <w:r>
              <w:rPr>
                <w:rFonts w:ascii="Times New Roman" w:hAnsi="Times New Roman"/>
                <w:sz w:val="19"/>
              </w:rPr>
              <w:t>SRSF protein kinase 2</w:t>
            </w:r>
          </w:p>
        </w:tc>
        <w:tc>
          <w:tcPr>
            <w:tcW w:type="dxa" w:w="2268"/>
          </w:tcPr>
          <w:p>
            <w:r>
              <w:rPr>
                <w:rFonts w:ascii="Times New Roman" w:hAnsi="Times New Roman"/>
                <w:sz w:val="19"/>
              </w:rPr>
              <w:t>Kd</w:t>
            </w:r>
          </w:p>
        </w:tc>
        <w:tc>
          <w:tcPr>
            <w:tcW w:type="dxa" w:w="2268"/>
          </w:tcPr>
          <w:p>
            <w:r>
              <w:rPr>
                <w:rFonts w:ascii="Times New Roman" w:hAnsi="Times New Roman"/>
                <w:sz w:val="19"/>
              </w:rPr>
              <w:t>10000.0</w:t>
            </w:r>
          </w:p>
        </w:tc>
        <w:tc>
          <w:tcPr>
            <w:tcW w:type="dxa" w:w="2268"/>
          </w:tcPr>
          <w:p>
            <w:r>
              <w:rPr>
                <w:rFonts w:ascii="Times New Roman" w:hAnsi="Times New Roman"/>
                <w:sz w:val="19"/>
              </w:rPr>
              <w:t>nM</w:t>
            </w:r>
          </w:p>
        </w:tc>
      </w:tr>
    </w:tbl>
    <w:p>
      <w:r>
        <w:rPr>
          <w:rFonts w:ascii="Times New Roman" w:hAnsi="Times New Roman"/>
          <w:b/>
          <w:i w:val="0"/>
        </w:rPr>
        <w:t>carmofur (CHEMBL460499):</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fill="DCE6F1"/>
          </w:tcPr>
          <w:p>
            <w:r>
              <w:rPr>
                <w:rFonts w:ascii="Times New Roman" w:hAnsi="Times New Roman"/>
                <w:b/>
                <w:sz w:val="19"/>
              </w:rPr>
              <w:t>target (truncated)</w:t>
            </w:r>
          </w:p>
        </w:tc>
        <w:tc>
          <w:tcPr>
            <w:tcW w:type="dxa" w:w="2268"/>
            <w:shd w:val="clear" w:fill="DCE6F1"/>
          </w:tcPr>
          <w:p>
            <w:r>
              <w:rPr>
                <w:rFonts w:ascii="Times New Roman" w:hAnsi="Times New Roman"/>
                <w:b/>
                <w:sz w:val="19"/>
              </w:rPr>
              <w:t>type</w:t>
            </w:r>
          </w:p>
        </w:tc>
        <w:tc>
          <w:tcPr>
            <w:tcW w:type="dxa" w:w="2268"/>
            <w:shd w:val="clear" w:fill="DCE6F1"/>
          </w:tcPr>
          <w:p>
            <w:r>
              <w:rPr>
                <w:rFonts w:ascii="Times New Roman" w:hAnsi="Times New Roman"/>
                <w:b/>
                <w:sz w:val="19"/>
              </w:rPr>
              <w:t>value</w:t>
            </w:r>
          </w:p>
        </w:tc>
        <w:tc>
          <w:tcPr>
            <w:tcW w:type="dxa" w:w="2268"/>
            <w:shd w:val="clear" w:fill="DCE6F1"/>
          </w:tcPr>
          <w:p>
            <w:r>
              <w:rPr>
                <w:rFonts w:ascii="Times New Roman" w:hAnsi="Times New Roman"/>
                <w:b/>
                <w:sz w:val="19"/>
              </w:rPr>
              <w:t>units</w:t>
            </w:r>
          </w:p>
        </w:tc>
      </w:tr>
      <w:tr>
        <w:tc>
          <w:tcPr>
            <w:tcW w:type="dxa" w:w="2268"/>
          </w:tcPr>
          <w:p>
            <w:r>
              <w:rPr>
                <w:rFonts w:ascii="Times New Roman" w:hAnsi="Times New Roman"/>
                <w:sz w:val="19"/>
              </w:rPr>
              <w:t>Amine oxidase [flavin-containing] A</w:t>
            </w:r>
          </w:p>
        </w:tc>
        <w:tc>
          <w:tcPr>
            <w:tcW w:type="dxa" w:w="2268"/>
          </w:tcPr>
          <w:p>
            <w:r>
              <w:rPr>
                <w:rFonts w:ascii="Times New Roman" w:hAnsi="Times New Roman"/>
                <w:sz w:val="19"/>
              </w:rPr>
              <w:t>Activity</w:t>
            </w:r>
          </w:p>
        </w:tc>
        <w:tc>
          <w:tcPr>
            <w:tcW w:type="dxa" w:w="2268"/>
          </w:tcPr>
          <w:p>
            <w:r>
              <w:rPr>
                <w:rFonts w:ascii="Times New Roman" w:hAnsi="Times New Roman"/>
                <w:sz w:val="19"/>
              </w:rPr>
              <w:t>None</w:t>
            </w:r>
          </w:p>
        </w:tc>
        <w:tc>
          <w:tcPr>
            <w:tcW w:type="dxa" w:w="2268"/>
          </w:tcPr>
          <w:p>
            <w:r>
              <w:rPr>
                <w:rFonts w:ascii="Times New Roman" w:hAnsi="Times New Roman"/>
                <w:sz w:val="19"/>
              </w:rPr>
              <w:t>-</w:t>
            </w:r>
          </w:p>
        </w:tc>
      </w:tr>
      <w:tr>
        <w:tc>
          <w:tcPr>
            <w:tcW w:type="dxa" w:w="2268"/>
          </w:tcPr>
          <w:p>
            <w:r>
              <w:rPr>
                <w:rFonts w:ascii="Times New Roman" w:hAnsi="Times New Roman"/>
                <w:sz w:val="19"/>
              </w:rPr>
              <w:t>Acetylcholinesterase</w:t>
            </w:r>
          </w:p>
        </w:tc>
        <w:tc>
          <w:tcPr>
            <w:tcW w:type="dxa" w:w="2268"/>
          </w:tcPr>
          <w:p>
            <w:r>
              <w:rPr>
                <w:rFonts w:ascii="Times New Roman" w:hAnsi="Times New Roman"/>
                <w:sz w:val="19"/>
              </w:rPr>
              <w:t>IC50</w:t>
            </w:r>
          </w:p>
        </w:tc>
        <w:tc>
          <w:tcPr>
            <w:tcW w:type="dxa" w:w="2268"/>
          </w:tcPr>
          <w:p>
            <w:r>
              <w:rPr>
                <w:rFonts w:ascii="Times New Roman" w:hAnsi="Times New Roman"/>
                <w:sz w:val="19"/>
              </w:rPr>
              <w:t>None</w:t>
            </w:r>
          </w:p>
        </w:tc>
        <w:tc>
          <w:tcPr>
            <w:tcW w:type="dxa" w:w="2268"/>
          </w:tcPr>
          <w:p>
            <w:r>
              <w:rPr>
                <w:rFonts w:ascii="Times New Roman" w:hAnsi="Times New Roman"/>
                <w:sz w:val="19"/>
              </w:rPr>
              <w:t>-</w:t>
            </w:r>
          </w:p>
        </w:tc>
      </w:tr>
      <w:tr>
        <w:tc>
          <w:tcPr>
            <w:tcW w:type="dxa" w:w="2268"/>
          </w:tcPr>
          <w:p>
            <w:r>
              <w:rPr>
                <w:rFonts w:ascii="Times New Roman" w:hAnsi="Times New Roman"/>
                <w:sz w:val="19"/>
              </w:rPr>
              <w:t>Acetylcholinesterase</w:t>
            </w:r>
          </w:p>
        </w:tc>
        <w:tc>
          <w:tcPr>
            <w:tcW w:type="dxa" w:w="2268"/>
          </w:tcPr>
          <w:p>
            <w:r>
              <w:rPr>
                <w:rFonts w:ascii="Times New Roman" w:hAnsi="Times New Roman"/>
                <w:sz w:val="19"/>
              </w:rPr>
              <w:t>Ki</w:t>
            </w:r>
          </w:p>
        </w:tc>
        <w:tc>
          <w:tcPr>
            <w:tcW w:type="dxa" w:w="2268"/>
          </w:tcPr>
          <w:p>
            <w:r>
              <w:rPr>
                <w:rFonts w:ascii="Times New Roman" w:hAnsi="Times New Roman"/>
                <w:sz w:val="19"/>
              </w:rPr>
              <w:t>None</w:t>
            </w:r>
          </w:p>
        </w:tc>
        <w:tc>
          <w:tcPr>
            <w:tcW w:type="dxa" w:w="2268"/>
          </w:tcPr>
          <w:p>
            <w:r>
              <w:rPr>
                <w:rFonts w:ascii="Times New Roman" w:hAnsi="Times New Roman"/>
                <w:sz w:val="19"/>
              </w:rPr>
              <w:t>-</w:t>
            </w:r>
          </w:p>
        </w:tc>
      </w:tr>
      <w:tr>
        <w:tc>
          <w:tcPr>
            <w:tcW w:type="dxa" w:w="2268"/>
          </w:tcPr>
          <w:p>
            <w:r>
              <w:rPr>
                <w:rFonts w:ascii="Times New Roman" w:hAnsi="Times New Roman"/>
                <w:sz w:val="19"/>
              </w:rPr>
              <w:t>Adenosine receptor A1</w:t>
            </w:r>
          </w:p>
        </w:tc>
        <w:tc>
          <w:tcPr>
            <w:tcW w:type="dxa" w:w="2268"/>
          </w:tcPr>
          <w:p>
            <w:r>
              <w:rPr>
                <w:rFonts w:ascii="Times New Roman" w:hAnsi="Times New Roman"/>
                <w:sz w:val="19"/>
              </w:rPr>
              <w:t>IC50</w:t>
            </w:r>
          </w:p>
        </w:tc>
        <w:tc>
          <w:tcPr>
            <w:tcW w:type="dxa" w:w="2268"/>
          </w:tcPr>
          <w:p>
            <w:r>
              <w:rPr>
                <w:rFonts w:ascii="Times New Roman" w:hAnsi="Times New Roman"/>
                <w:sz w:val="19"/>
              </w:rPr>
              <w:t>None</w:t>
            </w:r>
          </w:p>
        </w:tc>
        <w:tc>
          <w:tcPr>
            <w:tcW w:type="dxa" w:w="2268"/>
          </w:tcPr>
          <w:p>
            <w:r>
              <w:rPr>
                <w:rFonts w:ascii="Times New Roman" w:hAnsi="Times New Roman"/>
                <w:sz w:val="19"/>
              </w:rPr>
              <w:t>-</w:t>
            </w:r>
          </w:p>
        </w:tc>
      </w:tr>
      <w:tr>
        <w:tc>
          <w:tcPr>
            <w:tcW w:type="dxa" w:w="2268"/>
          </w:tcPr>
          <w:p>
            <w:r>
              <w:rPr>
                <w:rFonts w:ascii="Times New Roman" w:hAnsi="Times New Roman"/>
                <w:sz w:val="19"/>
              </w:rPr>
              <w:t>Adenosine receptor A1</w:t>
            </w:r>
          </w:p>
        </w:tc>
        <w:tc>
          <w:tcPr>
            <w:tcW w:type="dxa" w:w="2268"/>
          </w:tcPr>
          <w:p>
            <w:r>
              <w:rPr>
                <w:rFonts w:ascii="Times New Roman" w:hAnsi="Times New Roman"/>
                <w:sz w:val="19"/>
              </w:rPr>
              <w:t>Ki</w:t>
            </w:r>
          </w:p>
        </w:tc>
        <w:tc>
          <w:tcPr>
            <w:tcW w:type="dxa" w:w="2268"/>
          </w:tcPr>
          <w:p>
            <w:r>
              <w:rPr>
                <w:rFonts w:ascii="Times New Roman" w:hAnsi="Times New Roman"/>
                <w:sz w:val="19"/>
              </w:rPr>
              <w:t>None</w:t>
            </w:r>
          </w:p>
        </w:tc>
        <w:tc>
          <w:tcPr>
            <w:tcW w:type="dxa" w:w="2268"/>
          </w:tcPr>
          <w:p>
            <w:r>
              <w:rPr>
                <w:rFonts w:ascii="Times New Roman" w:hAnsi="Times New Roman"/>
                <w:sz w:val="19"/>
              </w:rPr>
              <w:t>-</w:t>
            </w:r>
          </w:p>
        </w:tc>
      </w:tr>
    </w:tbl>
    <w:p>
      <w:r>
        <w:rPr>
          <w:rFonts w:ascii="Times New Roman" w:hAnsi="Times New Roman"/>
          <w:b/>
          <w:i w:val="0"/>
        </w:rPr>
        <w:t>nelfinavir (CHEMBL365442):</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fill="DCE6F1"/>
          </w:tcPr>
          <w:p>
            <w:r>
              <w:rPr>
                <w:rFonts w:ascii="Times New Roman" w:hAnsi="Times New Roman"/>
                <w:b/>
                <w:sz w:val="19"/>
              </w:rPr>
              <w:t>target (truncated)</w:t>
            </w:r>
          </w:p>
        </w:tc>
        <w:tc>
          <w:tcPr>
            <w:tcW w:type="dxa" w:w="2268"/>
            <w:shd w:val="clear" w:fill="DCE6F1"/>
          </w:tcPr>
          <w:p>
            <w:r>
              <w:rPr>
                <w:rFonts w:ascii="Times New Roman" w:hAnsi="Times New Roman"/>
                <w:b/>
                <w:sz w:val="19"/>
              </w:rPr>
              <w:t>type</w:t>
            </w:r>
          </w:p>
        </w:tc>
        <w:tc>
          <w:tcPr>
            <w:tcW w:type="dxa" w:w="2268"/>
            <w:shd w:val="clear" w:fill="DCE6F1"/>
          </w:tcPr>
          <w:p>
            <w:r>
              <w:rPr>
                <w:rFonts w:ascii="Times New Roman" w:hAnsi="Times New Roman"/>
                <w:b/>
                <w:sz w:val="19"/>
              </w:rPr>
              <w:t>value</w:t>
            </w:r>
          </w:p>
        </w:tc>
        <w:tc>
          <w:tcPr>
            <w:tcW w:type="dxa" w:w="2268"/>
            <w:shd w:val="clear" w:fill="DCE6F1"/>
          </w:tcPr>
          <w:p>
            <w:r>
              <w:rPr>
                <w:rFonts w:ascii="Times New Roman" w:hAnsi="Times New Roman"/>
                <w:b/>
                <w:sz w:val="19"/>
              </w:rPr>
              <w:t>units</w:t>
            </w:r>
          </w:p>
        </w:tc>
      </w:tr>
    </w:tbl>
    <w:p>
      <w:pPr>
        <w:pStyle w:val="Heading1"/>
        <w:pBdr>
          <w:bottom w:val="single" w:sz="12" w:space="4" w:color="1F4E9C"/>
        </w:pBdr>
      </w:pPr>
      <w:r>
        <w:rPr>
          <w:rFonts w:ascii="Times New Roman" w:hAnsi="Times New Roman"/>
          <w:color w:val="1F4E9C"/>
        </w:rPr>
        <w:t>Appendix U. Environment and Version Record</w:t>
      </w:r>
    </w:p>
    <w:tbl>
      <w:tblPr>
        <w:tblStyle w:val="TableGrid"/>
        <w:tblW w:type="auto" w:w="0"/>
        <w:tblLook w:firstColumn="1" w:firstRow="1" w:lastColumn="0" w:lastRow="0" w:noHBand="0" w:noVBand="1" w:val="04A0"/>
      </w:tblPr>
      <w:tblGrid>
        <w:gridCol w:w="4536"/>
        <w:gridCol w:w="4536"/>
      </w:tblGrid>
      <w:tr>
        <w:tc>
          <w:tcPr>
            <w:tcW w:type="dxa" w:w="4536"/>
            <w:shd w:val="clear" w:fill="DCE6F1"/>
          </w:tcPr>
          <w:p>
            <w:r>
              <w:rPr>
                <w:rFonts w:ascii="Times New Roman" w:hAnsi="Times New Roman"/>
                <w:b/>
                <w:sz w:val="19"/>
              </w:rPr>
              <w:t>component</w:t>
            </w:r>
          </w:p>
        </w:tc>
        <w:tc>
          <w:tcPr>
            <w:tcW w:type="dxa" w:w="4536"/>
            <w:shd w:val="clear" w:fill="DCE6F1"/>
          </w:tcPr>
          <w:p>
            <w:r>
              <w:rPr>
                <w:rFonts w:ascii="Times New Roman" w:hAnsi="Times New Roman"/>
                <w:b/>
                <w:sz w:val="19"/>
              </w:rPr>
              <w:t>version</w:t>
            </w:r>
          </w:p>
        </w:tc>
      </w:tr>
      <w:tr>
        <w:tc>
          <w:tcPr>
            <w:tcW w:type="dxa" w:w="4536"/>
          </w:tcPr>
          <w:p>
            <w:r>
              <w:rPr>
                <w:rFonts w:ascii="Times New Roman" w:hAnsi="Times New Roman"/>
                <w:sz w:val="19"/>
              </w:rPr>
              <w:t>AutoDock Vina</w:t>
            </w:r>
          </w:p>
        </w:tc>
        <w:tc>
          <w:tcPr>
            <w:tcW w:type="dxa" w:w="4536"/>
          </w:tcPr>
          <w:p>
            <w:r>
              <w:rPr>
                <w:rFonts w:ascii="Times New Roman" w:hAnsi="Times New Roman"/>
                <w:sz w:val="19"/>
              </w:rPr>
              <w:t>1.2.7 (Python bindings)</w:t>
            </w:r>
          </w:p>
        </w:tc>
      </w:tr>
      <w:tr>
        <w:tc>
          <w:tcPr>
            <w:tcW w:type="dxa" w:w="4536"/>
          </w:tcPr>
          <w:p>
            <w:r>
              <w:rPr>
                <w:rFonts w:ascii="Times New Roman" w:hAnsi="Times New Roman"/>
                <w:sz w:val="19"/>
              </w:rPr>
              <w:t>RDKit</w:t>
            </w:r>
          </w:p>
        </w:tc>
        <w:tc>
          <w:tcPr>
            <w:tcW w:type="dxa" w:w="4536"/>
          </w:tcPr>
          <w:p>
            <w:r>
              <w:rPr>
                <w:rFonts w:ascii="Times New Roman" w:hAnsi="Times New Roman"/>
                <w:sz w:val="19"/>
              </w:rPr>
              <w:t>2026.3.6</w:t>
            </w:r>
          </w:p>
        </w:tc>
      </w:tr>
      <w:tr>
        <w:tc>
          <w:tcPr>
            <w:tcW w:type="dxa" w:w="4536"/>
          </w:tcPr>
          <w:p>
            <w:r>
              <w:rPr>
                <w:rFonts w:ascii="Times New Roman" w:hAnsi="Times New Roman"/>
                <w:sz w:val="19"/>
              </w:rPr>
              <w:t>meeko</w:t>
            </w:r>
          </w:p>
        </w:tc>
        <w:tc>
          <w:tcPr>
            <w:tcW w:type="dxa" w:w="4536"/>
          </w:tcPr>
          <w:p>
            <w:r>
              <w:rPr>
                <w:rFonts w:ascii="Times New Roman" w:hAnsi="Times New Roman"/>
                <w:sz w:val="19"/>
              </w:rPr>
              <w:t>0.8.0</w:t>
            </w:r>
          </w:p>
        </w:tc>
      </w:tr>
      <w:tr>
        <w:tc>
          <w:tcPr>
            <w:tcW w:type="dxa" w:w="4536"/>
          </w:tcPr>
          <w:p>
            <w:r>
              <w:rPr>
                <w:rFonts w:ascii="Times New Roman" w:hAnsi="Times New Roman"/>
                <w:sz w:val="19"/>
              </w:rPr>
              <w:t>NumPy</w:t>
            </w:r>
          </w:p>
        </w:tc>
        <w:tc>
          <w:tcPr>
            <w:tcW w:type="dxa" w:w="4536"/>
          </w:tcPr>
          <w:p>
            <w:r>
              <w:rPr>
                <w:rFonts w:ascii="Times New Roman" w:hAnsi="Times New Roman"/>
                <w:sz w:val="19"/>
              </w:rPr>
              <w:t>2.2.6</w:t>
            </w:r>
          </w:p>
        </w:tc>
      </w:tr>
      <w:tr>
        <w:tc>
          <w:tcPr>
            <w:tcW w:type="dxa" w:w="4536"/>
          </w:tcPr>
          <w:p>
            <w:r>
              <w:rPr>
                <w:rFonts w:ascii="Times New Roman" w:hAnsi="Times New Roman"/>
                <w:sz w:val="19"/>
              </w:rPr>
              <w:t>SciPy</w:t>
            </w:r>
          </w:p>
        </w:tc>
        <w:tc>
          <w:tcPr>
            <w:tcW w:type="dxa" w:w="4536"/>
          </w:tcPr>
          <w:p>
            <w:r>
              <w:rPr>
                <w:rFonts w:ascii="Times New Roman" w:hAnsi="Times New Roman"/>
                <w:sz w:val="19"/>
              </w:rPr>
              <w:t>1.15.3</w:t>
            </w:r>
          </w:p>
        </w:tc>
      </w:tr>
      <w:tr>
        <w:tc>
          <w:tcPr>
            <w:tcW w:type="dxa" w:w="4536"/>
          </w:tcPr>
          <w:p>
            <w:r>
              <w:rPr>
                <w:rFonts w:ascii="Times New Roman" w:hAnsi="Times New Roman"/>
                <w:sz w:val="19"/>
              </w:rPr>
              <w:t>scikit-learn</w:t>
            </w:r>
          </w:p>
        </w:tc>
        <w:tc>
          <w:tcPr>
            <w:tcW w:type="dxa" w:w="4536"/>
          </w:tcPr>
          <w:p>
            <w:r>
              <w:rPr>
                <w:rFonts w:ascii="Times New Roman" w:hAnsi="Times New Roman"/>
                <w:sz w:val="19"/>
              </w:rPr>
              <w:t>1.7.2</w:t>
            </w:r>
          </w:p>
        </w:tc>
      </w:tr>
      <w:tr>
        <w:tc>
          <w:tcPr>
            <w:tcW w:type="dxa" w:w="4536"/>
          </w:tcPr>
          <w:p>
            <w:r>
              <w:rPr>
                <w:rFonts w:ascii="Times New Roman" w:hAnsi="Times New Roman"/>
                <w:sz w:val="19"/>
              </w:rPr>
              <w:t>PyTorch</w:t>
            </w:r>
          </w:p>
        </w:tc>
        <w:tc>
          <w:tcPr>
            <w:tcW w:type="dxa" w:w="4536"/>
          </w:tcPr>
          <w:p>
            <w:r>
              <w:rPr>
                <w:rFonts w:ascii="Times New Roman" w:hAnsi="Times New Roman"/>
                <w:sz w:val="19"/>
              </w:rPr>
              <w:t>2.14.0+cpu</w:t>
            </w:r>
          </w:p>
        </w:tc>
      </w:tr>
      <w:tr>
        <w:tc>
          <w:tcPr>
            <w:tcW w:type="dxa" w:w="4536"/>
          </w:tcPr>
          <w:p>
            <w:r>
              <w:rPr>
                <w:rFonts w:ascii="Times New Roman" w:hAnsi="Times New Roman"/>
                <w:sz w:val="19"/>
              </w:rPr>
              <w:t>matplotlib</w:t>
            </w:r>
          </w:p>
        </w:tc>
        <w:tc>
          <w:tcPr>
            <w:tcW w:type="dxa" w:w="4536"/>
          </w:tcPr>
          <w:p>
            <w:r>
              <w:rPr>
                <w:rFonts w:ascii="Times New Roman" w:hAnsi="Times New Roman"/>
                <w:sz w:val="19"/>
              </w:rPr>
              <w:t>3.10.9</w:t>
            </w:r>
          </w:p>
        </w:tc>
      </w:tr>
      <w:tr>
        <w:tc>
          <w:tcPr>
            <w:tcW w:type="dxa" w:w="4536"/>
          </w:tcPr>
          <w:p>
            <w:r>
              <w:rPr>
                <w:rFonts w:ascii="Times New Roman" w:hAnsi="Times New Roman"/>
                <w:sz w:val="19"/>
              </w:rPr>
              <w:t>python-docx</w:t>
            </w:r>
          </w:p>
        </w:tc>
        <w:tc>
          <w:tcPr>
            <w:tcW w:type="dxa" w:w="4536"/>
          </w:tcPr>
          <w:p>
            <w:r>
              <w:rPr>
                <w:rFonts w:ascii="Times New Roman" w:hAnsi="Times New Roman"/>
                <w:sz w:val="19"/>
              </w:rPr>
              <w:t>1.2.0</w:t>
            </w:r>
          </w:p>
        </w:tc>
      </w:tr>
      <w:tr>
        <w:tc>
          <w:tcPr>
            <w:tcW w:type="dxa" w:w="4536"/>
          </w:tcPr>
          <w:p>
            <w:r>
              <w:rPr>
                <w:rFonts w:ascii="Times New Roman" w:hAnsi="Times New Roman"/>
                <w:sz w:val="19"/>
              </w:rPr>
              <w:t>Python</w:t>
            </w:r>
          </w:p>
        </w:tc>
        <w:tc>
          <w:tcPr>
            <w:tcW w:type="dxa" w:w="4536"/>
          </w:tcPr>
          <w:p>
            <w:r>
              <w:rPr>
                <w:rFonts w:ascii="Times New Roman" w:hAnsi="Times New Roman"/>
                <w:sz w:val="19"/>
              </w:rPr>
              <w:t>3.10</w:t>
            </w:r>
          </w:p>
        </w:tc>
      </w:tr>
      <w:tr>
        <w:tc>
          <w:tcPr>
            <w:tcW w:type="dxa" w:w="4536"/>
          </w:tcPr>
          <w:p>
            <w:r>
              <w:rPr>
                <w:rFonts w:ascii="Times New Roman" w:hAnsi="Times New Roman"/>
                <w:sz w:val="19"/>
              </w:rPr>
              <w:t>test suite</w:t>
            </w:r>
          </w:p>
        </w:tc>
        <w:tc>
          <w:tcPr>
            <w:tcW w:type="dxa" w:w="4536"/>
          </w:tcPr>
          <w:p>
            <w:r>
              <w:rPr>
                <w:rFonts w:ascii="Times New Roman" w:hAnsi="Times New Roman"/>
                <w:sz w:val="19"/>
              </w:rPr>
              <w:t>17 hermetic tests</w:t>
            </w:r>
          </w:p>
        </w:tc>
      </w:tr>
    </w:tbl>
    <w:p>
      <w:r>
        <w:rPr>
          <w:rFonts w:ascii="Times New Roman" w:hAnsi="Times New Roman"/>
          <w:b w:val="0"/>
          <w:i w:val="0"/>
        </w:rPr>
        <w:t>The sandbox (1-2 GB RAM, 2 CPU) constrained every design choice: small models, resumable per-ligand caches, and studies that checkpoint after every expensive step. These constraints are recorded because they are part of the reproducibility story - the pipeline runs on hardware any reader has.</w:t>
      </w:r>
    </w:p>
    <w:p>
      <w:pPr>
        <w:pStyle w:val="Heading1"/>
        <w:pBdr>
          <w:bottom w:val="single" w:sz="12" w:space="4" w:color="1F4E9C"/>
        </w:pBdr>
      </w:pPr>
      <w:r>
        <w:rPr>
          <w:rFonts w:ascii="Times New Roman" w:hAnsi="Times New Roman"/>
          <w:color w:val="1F4E9C"/>
        </w:rPr>
        <w:t>Appendix V. Extended Glossary</w:t>
      </w:r>
    </w:p>
    <w:p>
      <w:r>
        <w:rPr>
          <w:rFonts w:ascii="Times New Roman" w:hAnsi="Times New Roman"/>
          <w:b w:val="0"/>
          <w:i w:val="0"/>
        </w:rPr>
        <w:t>Subpocket S1/S2/S4. Named regions of the Mpro substrate cleft with distinct chemistry; see Appendix L.</w:t>
      </w:r>
    </w:p>
    <w:p>
      <w:r>
        <w:rPr>
          <w:rFonts w:ascii="Times New Roman" w:hAnsi="Times New Roman"/>
          <w:b w:val="0"/>
          <w:i w:val="0"/>
        </w:rPr>
        <w:t>Covalent warhead. A reactive group that bonds Cys145; invisible to Vina's reversible scoring.</w:t>
      </w:r>
    </w:p>
    <w:p>
      <w:r>
        <w:rPr>
          <w:rFonts w:ascii="Times New Roman" w:hAnsi="Times New Roman"/>
          <w:b w:val="0"/>
          <w:i w:val="0"/>
        </w:rPr>
        <w:t>Peptidomimetic. A molecule mimicking peptide backbone geometry; often large, often over-scored by empirical functions.</w:t>
      </w:r>
    </w:p>
    <w:p>
      <w:r>
        <w:rPr>
          <w:rFonts w:ascii="Times New Roman" w:hAnsi="Times New Roman"/>
          <w:b w:val="0"/>
          <w:i w:val="0"/>
        </w:rPr>
        <w:t>Pose. A docked ligand conformation + orientation in the pocket.</w:t>
      </w:r>
    </w:p>
    <w:p>
      <w:r>
        <w:rPr>
          <w:rFonts w:ascii="Times New Roman" w:hAnsi="Times New Roman"/>
          <w:b w:val="0"/>
          <w:i w:val="0"/>
        </w:rPr>
        <w:t>Contact graph. The GNN's input: atoms/residues as nodes, &lt;4.5 A contacts as edges.</w:t>
      </w:r>
    </w:p>
    <w:p>
      <w:r>
        <w:rPr>
          <w:rFonts w:ascii="Times New Roman" w:hAnsi="Times New Roman"/>
          <w:b w:val="0"/>
          <w:i w:val="0"/>
        </w:rPr>
        <w:t>Redock gate. The 2.0 A RMSD acceptance threshold a protocol must pass before screening.</w:t>
      </w:r>
    </w:p>
    <w:p>
      <w:r>
        <w:rPr>
          <w:rFonts w:ascii="Times New Roman" w:hAnsi="Times New Roman"/>
          <w:b w:val="0"/>
          <w:i w:val="0"/>
        </w:rPr>
        <w:t>Ligand efficiency. Affinity per heavy atom; disciplines the 'bigger scores better' artifact.</w:t>
      </w:r>
    </w:p>
    <w:p>
      <w:r>
        <w:rPr>
          <w:rFonts w:ascii="Times New Roman" w:hAnsi="Times New Roman"/>
          <w:b w:val="0"/>
          <w:i w:val="0"/>
        </w:rPr>
        <w:t>LOO AUROC. AUROC pooled over leave-one-out held-out predictions.</w:t>
      </w:r>
    </w:p>
    <w:p>
      <w:r>
        <w:rPr>
          <w:rFonts w:ascii="Times New Roman" w:hAnsi="Times New Roman"/>
          <w:b w:val="0"/>
          <w:i w:val="0"/>
        </w:rPr>
        <w:t>Hypergeometric p. Exact probability of the observed top-k active count under random ranking.</w:t>
      </w:r>
    </w:p>
    <w:p>
      <w:r>
        <w:rPr>
          <w:rFonts w:ascii="Times New Roman" w:hAnsi="Times New Roman"/>
          <w:b w:val="0"/>
          <w:i w:val="0"/>
        </w:rPr>
        <w:t>De novo enumeration. Generating candidates from a designed chemical grammar rather than screening existing drugs.</w:t>
      </w:r>
    </w:p>
    <w:p>
      <w:r>
        <w:br w:type="page"/>
      </w:r>
    </w:p>
    <w:p>
      <w:pPr>
        <w:pStyle w:val="Heading1"/>
        <w:pBdr>
          <w:bottom w:val="single" w:sz="12" w:space="4" w:color="1F4E9C"/>
        </w:pBdr>
      </w:pPr>
      <w:r>
        <w:rPr>
          <w:rFonts w:ascii="Times New Roman" w:hAnsi="Times New Roman"/>
          <w:color w:val="1F4E9C"/>
        </w:rPr>
        <w:t>Appendix W. Literature Label Provenance</w:t>
      </w:r>
    </w:p>
    <w:p>
      <w:r>
        <w:rPr>
          <w:rFonts w:ascii="Times New Roman" w:hAnsi="Times New Roman"/>
          <w:b w:val="0"/>
          <w:i w:val="0"/>
        </w:rPr>
        <w:t>Labels are the most dangerous input in a benchmarking study: a label inherited from another docking paper is circular. Every label here traces to an experimental assay or clinical outcome, as tabulated; where assay support is mixed, the compound is labeled unknown rather than forced.</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fill="DCE6F1"/>
          </w:tcPr>
          <w:p>
            <w:r>
              <w:rPr>
                <w:rFonts w:ascii="Times New Roman" w:hAnsi="Times New Roman"/>
                <w:b/>
                <w:sz w:val="19"/>
              </w:rPr>
              <w:t>compound</w:t>
            </w:r>
          </w:p>
        </w:tc>
        <w:tc>
          <w:tcPr>
            <w:tcW w:type="dxa" w:w="2268"/>
            <w:shd w:val="clear" w:fill="DCE6F1"/>
          </w:tcPr>
          <w:p>
            <w:r>
              <w:rPr>
                <w:rFonts w:ascii="Times New Roman" w:hAnsi="Times New Roman"/>
                <w:b/>
                <w:sz w:val="19"/>
              </w:rPr>
              <w:t>label</w:t>
            </w:r>
          </w:p>
        </w:tc>
        <w:tc>
          <w:tcPr>
            <w:tcW w:type="dxa" w:w="2268"/>
            <w:shd w:val="clear" w:fill="DCE6F1"/>
          </w:tcPr>
          <w:p>
            <w:r>
              <w:rPr>
                <w:rFonts w:ascii="Times New Roman" w:hAnsi="Times New Roman"/>
                <w:b/>
                <w:sz w:val="19"/>
              </w:rPr>
              <w:t>evidence class</w:t>
            </w:r>
          </w:p>
        </w:tc>
        <w:tc>
          <w:tcPr>
            <w:tcW w:type="dxa" w:w="2268"/>
            <w:shd w:val="clear" w:fill="DCE6F1"/>
          </w:tcPr>
          <w:p>
            <w:r>
              <w:rPr>
                <w:rFonts w:ascii="Times New Roman" w:hAnsi="Times New Roman"/>
                <w:b/>
                <w:sz w:val="19"/>
              </w:rPr>
              <w:t>anchor</w:t>
            </w:r>
          </w:p>
        </w:tc>
      </w:tr>
      <w:tr>
        <w:tc>
          <w:tcPr>
            <w:tcW w:type="dxa" w:w="2268"/>
          </w:tcPr>
          <w:p>
            <w:r>
              <w:rPr>
                <w:rFonts w:ascii="Times New Roman" w:hAnsi="Times New Roman"/>
                <w:sz w:val="19"/>
              </w:rPr>
              <w:t>nirmatrelvir</w:t>
            </w:r>
          </w:p>
        </w:tc>
        <w:tc>
          <w:tcPr>
            <w:tcW w:type="dxa" w:w="2268"/>
          </w:tcPr>
          <w:p>
            <w:r>
              <w:rPr>
                <w:rFonts w:ascii="Times New Roman" w:hAnsi="Times New Roman"/>
                <w:sz w:val="19"/>
              </w:rPr>
              <w:t>active</w:t>
            </w:r>
          </w:p>
        </w:tc>
        <w:tc>
          <w:tcPr>
            <w:tcW w:type="dxa" w:w="2268"/>
          </w:tcPr>
          <w:p>
            <w:r>
              <w:rPr>
                <w:rFonts w:ascii="Times New Roman" w:hAnsi="Times New Roman"/>
                <w:sz w:val="19"/>
              </w:rPr>
              <w:t>enzymatic assay + approved drug</w:t>
            </w:r>
          </w:p>
        </w:tc>
        <w:tc>
          <w:tcPr>
            <w:tcW w:type="dxa" w:w="2268"/>
          </w:tcPr>
          <w:p>
            <w:r>
              <w:rPr>
                <w:rFonts w:ascii="Times New Roman" w:hAnsi="Times New Roman"/>
                <w:sz w:val="19"/>
              </w:rPr>
              <w:t>Owen et al. 2021</w:t>
            </w:r>
          </w:p>
        </w:tc>
      </w:tr>
      <w:tr>
        <w:tc>
          <w:tcPr>
            <w:tcW w:type="dxa" w:w="2268"/>
          </w:tcPr>
          <w:p>
            <w:r>
              <w:rPr>
                <w:rFonts w:ascii="Times New Roman" w:hAnsi="Times New Roman"/>
                <w:sz w:val="19"/>
              </w:rPr>
              <w:t>boceprevir</w:t>
            </w:r>
          </w:p>
        </w:tc>
        <w:tc>
          <w:tcPr>
            <w:tcW w:type="dxa" w:w="2268"/>
          </w:tcPr>
          <w:p>
            <w:r>
              <w:rPr>
                <w:rFonts w:ascii="Times New Roman" w:hAnsi="Times New Roman"/>
                <w:sz w:val="19"/>
              </w:rPr>
              <w:t>active</w:t>
            </w:r>
          </w:p>
        </w:tc>
        <w:tc>
          <w:tcPr>
            <w:tcW w:type="dxa" w:w="2268"/>
          </w:tcPr>
          <w:p>
            <w:r>
              <w:rPr>
                <w:rFonts w:ascii="Times New Roman" w:hAnsi="Times New Roman"/>
                <w:sz w:val="19"/>
              </w:rPr>
              <w:t>enzymatic Mpro inhibition</w:t>
            </w:r>
          </w:p>
        </w:tc>
        <w:tc>
          <w:tcPr>
            <w:tcW w:type="dxa" w:w="2268"/>
          </w:tcPr>
          <w:p>
            <w:r>
              <w:rPr>
                <w:rFonts w:ascii="Times New Roman" w:hAnsi="Times New Roman"/>
                <w:sz w:val="19"/>
              </w:rPr>
              <w:t>published repurposing screens</w:t>
            </w:r>
          </w:p>
        </w:tc>
      </w:tr>
      <w:tr>
        <w:tc>
          <w:tcPr>
            <w:tcW w:type="dxa" w:w="2268"/>
          </w:tcPr>
          <w:p>
            <w:r>
              <w:rPr>
                <w:rFonts w:ascii="Times New Roman" w:hAnsi="Times New Roman"/>
                <w:sz w:val="19"/>
              </w:rPr>
              <w:t>telaprevir</w:t>
            </w:r>
          </w:p>
        </w:tc>
        <w:tc>
          <w:tcPr>
            <w:tcW w:type="dxa" w:w="2268"/>
          </w:tcPr>
          <w:p>
            <w:r>
              <w:rPr>
                <w:rFonts w:ascii="Times New Roman" w:hAnsi="Times New Roman"/>
                <w:sz w:val="19"/>
              </w:rPr>
              <w:t>active</w:t>
            </w:r>
          </w:p>
        </w:tc>
        <w:tc>
          <w:tcPr>
            <w:tcW w:type="dxa" w:w="2268"/>
          </w:tcPr>
          <w:p>
            <w:r>
              <w:rPr>
                <w:rFonts w:ascii="Times New Roman" w:hAnsi="Times New Roman"/>
                <w:sz w:val="19"/>
              </w:rPr>
              <w:t>enzymatic Mpro inhibition</w:t>
            </w:r>
          </w:p>
        </w:tc>
        <w:tc>
          <w:tcPr>
            <w:tcW w:type="dxa" w:w="2268"/>
          </w:tcPr>
          <w:p>
            <w:r>
              <w:rPr>
                <w:rFonts w:ascii="Times New Roman" w:hAnsi="Times New Roman"/>
                <w:sz w:val="19"/>
              </w:rPr>
              <w:t>published repurposing screens</w:t>
            </w:r>
          </w:p>
        </w:tc>
      </w:tr>
      <w:tr>
        <w:tc>
          <w:tcPr>
            <w:tcW w:type="dxa" w:w="2268"/>
          </w:tcPr>
          <w:p>
            <w:r>
              <w:rPr>
                <w:rFonts w:ascii="Times New Roman" w:hAnsi="Times New Roman"/>
                <w:sz w:val="19"/>
              </w:rPr>
              <w:t>carmofur</w:t>
            </w:r>
          </w:p>
        </w:tc>
        <w:tc>
          <w:tcPr>
            <w:tcW w:type="dxa" w:w="2268"/>
          </w:tcPr>
          <w:p>
            <w:r>
              <w:rPr>
                <w:rFonts w:ascii="Times New Roman" w:hAnsi="Times New Roman"/>
                <w:sz w:val="19"/>
              </w:rPr>
              <w:t>active</w:t>
            </w:r>
          </w:p>
        </w:tc>
        <w:tc>
          <w:tcPr>
            <w:tcW w:type="dxa" w:w="2268"/>
          </w:tcPr>
          <w:p>
            <w:r>
              <w:rPr>
                <w:rFonts w:ascii="Times New Roman" w:hAnsi="Times New Roman"/>
                <w:sz w:val="19"/>
              </w:rPr>
              <w:t>enzymatic + cellular</w:t>
            </w:r>
          </w:p>
        </w:tc>
        <w:tc>
          <w:tcPr>
            <w:tcW w:type="dxa" w:w="2268"/>
          </w:tcPr>
          <w:p>
            <w:r>
              <w:rPr>
                <w:rFonts w:ascii="Times New Roman" w:hAnsi="Times New Roman"/>
                <w:sz w:val="19"/>
              </w:rPr>
              <w:t>Jin et al. 2020 lineage</w:t>
            </w:r>
          </w:p>
        </w:tc>
      </w:tr>
      <w:tr>
        <w:tc>
          <w:tcPr>
            <w:tcW w:type="dxa" w:w="2268"/>
          </w:tcPr>
          <w:p>
            <w:r>
              <w:rPr>
                <w:rFonts w:ascii="Times New Roman" w:hAnsi="Times New Roman"/>
                <w:sz w:val="19"/>
              </w:rPr>
              <w:t>disulfiram</w:t>
            </w:r>
          </w:p>
        </w:tc>
        <w:tc>
          <w:tcPr>
            <w:tcW w:type="dxa" w:w="2268"/>
          </w:tcPr>
          <w:p>
            <w:r>
              <w:rPr>
                <w:rFonts w:ascii="Times New Roman" w:hAnsi="Times New Roman"/>
                <w:sz w:val="19"/>
              </w:rPr>
              <w:t>active</w:t>
            </w:r>
          </w:p>
        </w:tc>
        <w:tc>
          <w:tcPr>
            <w:tcW w:type="dxa" w:w="2268"/>
          </w:tcPr>
          <w:p>
            <w:r>
              <w:rPr>
                <w:rFonts w:ascii="Times New Roman" w:hAnsi="Times New Roman"/>
                <w:sz w:val="19"/>
              </w:rPr>
              <w:t>enzymatic</w:t>
            </w:r>
          </w:p>
        </w:tc>
        <w:tc>
          <w:tcPr>
            <w:tcW w:type="dxa" w:w="2268"/>
          </w:tcPr>
          <w:p>
            <w:r>
              <w:rPr>
                <w:rFonts w:ascii="Times New Roman" w:hAnsi="Times New Roman"/>
                <w:sz w:val="19"/>
              </w:rPr>
              <w:t>Jin et al. 2020 lineage</w:t>
            </w:r>
          </w:p>
        </w:tc>
      </w:tr>
      <w:tr>
        <w:tc>
          <w:tcPr>
            <w:tcW w:type="dxa" w:w="2268"/>
          </w:tcPr>
          <w:p>
            <w:r>
              <w:rPr>
                <w:rFonts w:ascii="Times New Roman" w:hAnsi="Times New Roman"/>
                <w:sz w:val="19"/>
              </w:rPr>
              <w:t>tideglusib</w:t>
            </w:r>
          </w:p>
        </w:tc>
        <w:tc>
          <w:tcPr>
            <w:tcW w:type="dxa" w:w="2268"/>
          </w:tcPr>
          <w:p>
            <w:r>
              <w:rPr>
                <w:rFonts w:ascii="Times New Roman" w:hAnsi="Times New Roman"/>
                <w:sz w:val="19"/>
              </w:rPr>
              <w:t>active</w:t>
            </w:r>
          </w:p>
        </w:tc>
        <w:tc>
          <w:tcPr>
            <w:tcW w:type="dxa" w:w="2268"/>
          </w:tcPr>
          <w:p>
            <w:r>
              <w:rPr>
                <w:rFonts w:ascii="Times New Roman" w:hAnsi="Times New Roman"/>
                <w:sz w:val="19"/>
              </w:rPr>
              <w:t>repurposing screen</w:t>
            </w:r>
          </w:p>
        </w:tc>
        <w:tc>
          <w:tcPr>
            <w:tcW w:type="dxa" w:w="2268"/>
          </w:tcPr>
          <w:p>
            <w:r>
              <w:rPr>
                <w:rFonts w:ascii="Times New Roman" w:hAnsi="Times New Roman"/>
                <w:sz w:val="19"/>
              </w:rPr>
              <w:t>published screens</w:t>
            </w:r>
          </w:p>
        </w:tc>
      </w:tr>
      <w:tr>
        <w:tc>
          <w:tcPr>
            <w:tcW w:type="dxa" w:w="2268"/>
          </w:tcPr>
          <w:p>
            <w:r>
              <w:rPr>
                <w:rFonts w:ascii="Times New Roman" w:hAnsi="Times New Roman"/>
                <w:sz w:val="19"/>
              </w:rPr>
              <w:t>masitinib</w:t>
            </w:r>
          </w:p>
        </w:tc>
        <w:tc>
          <w:tcPr>
            <w:tcW w:type="dxa" w:w="2268"/>
          </w:tcPr>
          <w:p>
            <w:r>
              <w:rPr>
                <w:rFonts w:ascii="Times New Roman" w:hAnsi="Times New Roman"/>
                <w:sz w:val="19"/>
              </w:rPr>
              <w:t>active</w:t>
            </w:r>
          </w:p>
        </w:tc>
        <w:tc>
          <w:tcPr>
            <w:tcW w:type="dxa" w:w="2268"/>
          </w:tcPr>
          <w:p>
            <w:r>
              <w:rPr>
                <w:rFonts w:ascii="Times New Roman" w:hAnsi="Times New Roman"/>
                <w:sz w:val="19"/>
              </w:rPr>
              <w:t>enzymatic + cellular + in vivo</w:t>
            </w:r>
          </w:p>
        </w:tc>
        <w:tc>
          <w:tcPr>
            <w:tcW w:type="dxa" w:w="2268"/>
          </w:tcPr>
          <w:p>
            <w:r>
              <w:rPr>
                <w:rFonts w:ascii="Times New Roman" w:hAnsi="Times New Roman"/>
                <w:sz w:val="19"/>
              </w:rPr>
              <w:t>Drayman et al. 2021</w:t>
            </w:r>
          </w:p>
        </w:tc>
      </w:tr>
      <w:tr>
        <w:tc>
          <w:tcPr>
            <w:tcW w:type="dxa" w:w="2268"/>
          </w:tcPr>
          <w:p>
            <w:r>
              <w:rPr>
                <w:rFonts w:ascii="Times New Roman" w:hAnsi="Times New Roman"/>
                <w:sz w:val="19"/>
              </w:rPr>
              <w:t>lopinavir</w:t>
            </w:r>
          </w:p>
        </w:tc>
        <w:tc>
          <w:tcPr>
            <w:tcW w:type="dxa" w:w="2268"/>
          </w:tcPr>
          <w:p>
            <w:r>
              <w:rPr>
                <w:rFonts w:ascii="Times New Roman" w:hAnsi="Times New Roman"/>
                <w:sz w:val="19"/>
              </w:rPr>
              <w:t>inactive</w:t>
            </w:r>
          </w:p>
        </w:tc>
        <w:tc>
          <w:tcPr>
            <w:tcW w:type="dxa" w:w="2268"/>
          </w:tcPr>
          <w:p>
            <w:r>
              <w:rPr>
                <w:rFonts w:ascii="Times New Roman" w:hAnsi="Times New Roman"/>
                <w:sz w:val="19"/>
              </w:rPr>
              <w:t>failed clinical trials</w:t>
            </w:r>
          </w:p>
        </w:tc>
        <w:tc>
          <w:tcPr>
            <w:tcW w:type="dxa" w:w="2268"/>
          </w:tcPr>
          <w:p>
            <w:r>
              <w:rPr>
                <w:rFonts w:ascii="Times New Roman" w:hAnsi="Times New Roman"/>
                <w:sz w:val="19"/>
              </w:rPr>
              <w:t>RECOVERY-era trials</w:t>
            </w:r>
          </w:p>
        </w:tc>
      </w:tr>
      <w:tr>
        <w:tc>
          <w:tcPr>
            <w:tcW w:type="dxa" w:w="2268"/>
          </w:tcPr>
          <w:p>
            <w:r>
              <w:rPr>
                <w:rFonts w:ascii="Times New Roman" w:hAnsi="Times New Roman"/>
                <w:sz w:val="19"/>
              </w:rPr>
              <w:t>atazanavir</w:t>
            </w:r>
          </w:p>
        </w:tc>
        <w:tc>
          <w:tcPr>
            <w:tcW w:type="dxa" w:w="2268"/>
          </w:tcPr>
          <w:p>
            <w:r>
              <w:rPr>
                <w:rFonts w:ascii="Times New Roman" w:hAnsi="Times New Roman"/>
                <w:sz w:val="19"/>
              </w:rPr>
              <w:t>inactive</w:t>
            </w:r>
          </w:p>
        </w:tc>
        <w:tc>
          <w:tcPr>
            <w:tcW w:type="dxa" w:w="2268"/>
          </w:tcPr>
          <w:p>
            <w:r>
              <w:rPr>
                <w:rFonts w:ascii="Times New Roman" w:hAnsi="Times New Roman"/>
                <w:sz w:val="19"/>
              </w:rPr>
              <w:t>negative enzymatic evidence</w:t>
            </w:r>
          </w:p>
        </w:tc>
        <w:tc>
          <w:tcPr>
            <w:tcW w:type="dxa" w:w="2268"/>
          </w:tcPr>
          <w:p>
            <w:r>
              <w:rPr>
                <w:rFonts w:ascii="Times New Roman" w:hAnsi="Times New Roman"/>
                <w:sz w:val="19"/>
              </w:rPr>
              <w:t>published screens</w:t>
            </w:r>
          </w:p>
        </w:tc>
      </w:tr>
      <w:tr>
        <w:tc>
          <w:tcPr>
            <w:tcW w:type="dxa" w:w="2268"/>
          </w:tcPr>
          <w:p>
            <w:r>
              <w:rPr>
                <w:rFonts w:ascii="Times New Roman" w:hAnsi="Times New Roman"/>
                <w:sz w:val="19"/>
              </w:rPr>
              <w:t>darunavir</w:t>
            </w:r>
          </w:p>
        </w:tc>
        <w:tc>
          <w:tcPr>
            <w:tcW w:type="dxa" w:w="2268"/>
          </w:tcPr>
          <w:p>
            <w:r>
              <w:rPr>
                <w:rFonts w:ascii="Times New Roman" w:hAnsi="Times New Roman"/>
                <w:sz w:val="19"/>
              </w:rPr>
              <w:t>inactive</w:t>
            </w:r>
          </w:p>
        </w:tc>
        <w:tc>
          <w:tcPr>
            <w:tcW w:type="dxa" w:w="2268"/>
          </w:tcPr>
          <w:p>
            <w:r>
              <w:rPr>
                <w:rFonts w:ascii="Times New Roman" w:hAnsi="Times New Roman"/>
                <w:sz w:val="19"/>
              </w:rPr>
              <w:t>negative clinical/preclinical</w:t>
            </w:r>
          </w:p>
        </w:tc>
        <w:tc>
          <w:tcPr>
            <w:tcW w:type="dxa" w:w="2268"/>
          </w:tcPr>
          <w:p>
            <w:r>
              <w:rPr>
                <w:rFonts w:ascii="Times New Roman" w:hAnsi="Times New Roman"/>
                <w:sz w:val="19"/>
              </w:rPr>
              <w:t>published reports</w:t>
            </w:r>
          </w:p>
        </w:tc>
      </w:tr>
      <w:tr>
        <w:tc>
          <w:tcPr>
            <w:tcW w:type="dxa" w:w="2268"/>
          </w:tcPr>
          <w:p>
            <w:r>
              <w:rPr>
                <w:rFonts w:ascii="Times New Roman" w:hAnsi="Times New Roman"/>
                <w:sz w:val="19"/>
              </w:rPr>
              <w:t>saquinavir</w:t>
            </w:r>
          </w:p>
        </w:tc>
        <w:tc>
          <w:tcPr>
            <w:tcW w:type="dxa" w:w="2268"/>
          </w:tcPr>
          <w:p>
            <w:r>
              <w:rPr>
                <w:rFonts w:ascii="Times New Roman" w:hAnsi="Times New Roman"/>
                <w:sz w:val="19"/>
              </w:rPr>
              <w:t>inactive</w:t>
            </w:r>
          </w:p>
        </w:tc>
        <w:tc>
          <w:tcPr>
            <w:tcW w:type="dxa" w:w="2268"/>
          </w:tcPr>
          <w:p>
            <w:r>
              <w:rPr>
                <w:rFonts w:ascii="Times New Roman" w:hAnsi="Times New Roman"/>
                <w:sz w:val="19"/>
              </w:rPr>
              <w:t>negative evidence</w:t>
            </w:r>
          </w:p>
        </w:tc>
        <w:tc>
          <w:tcPr>
            <w:tcW w:type="dxa" w:w="2268"/>
          </w:tcPr>
          <w:p>
            <w:r>
              <w:rPr>
                <w:rFonts w:ascii="Times New Roman" w:hAnsi="Times New Roman"/>
                <w:sz w:val="19"/>
              </w:rPr>
              <w:t>published screens</w:t>
            </w:r>
          </w:p>
        </w:tc>
      </w:tr>
      <w:tr>
        <w:tc>
          <w:tcPr>
            <w:tcW w:type="dxa" w:w="2268"/>
          </w:tcPr>
          <w:p>
            <w:r>
              <w:rPr>
                <w:rFonts w:ascii="Times New Roman" w:hAnsi="Times New Roman"/>
                <w:sz w:val="19"/>
              </w:rPr>
              <w:t>indinavir</w:t>
            </w:r>
          </w:p>
        </w:tc>
        <w:tc>
          <w:tcPr>
            <w:tcW w:type="dxa" w:w="2268"/>
          </w:tcPr>
          <w:p>
            <w:r>
              <w:rPr>
                <w:rFonts w:ascii="Times New Roman" w:hAnsi="Times New Roman"/>
                <w:sz w:val="19"/>
              </w:rPr>
              <w:t>inactive</w:t>
            </w:r>
          </w:p>
        </w:tc>
        <w:tc>
          <w:tcPr>
            <w:tcW w:type="dxa" w:w="2268"/>
          </w:tcPr>
          <w:p>
            <w:r>
              <w:rPr>
                <w:rFonts w:ascii="Times New Roman" w:hAnsi="Times New Roman"/>
                <w:sz w:val="19"/>
              </w:rPr>
              <w:t>negative evidence</w:t>
            </w:r>
          </w:p>
        </w:tc>
        <w:tc>
          <w:tcPr>
            <w:tcW w:type="dxa" w:w="2268"/>
          </w:tcPr>
          <w:p>
            <w:r>
              <w:rPr>
                <w:rFonts w:ascii="Times New Roman" w:hAnsi="Times New Roman"/>
                <w:sz w:val="19"/>
              </w:rPr>
              <w:t>published screens</w:t>
            </w:r>
          </w:p>
        </w:tc>
      </w:tr>
      <w:tr>
        <w:tc>
          <w:tcPr>
            <w:tcW w:type="dxa" w:w="2268"/>
          </w:tcPr>
          <w:p>
            <w:r>
              <w:rPr>
                <w:rFonts w:ascii="Times New Roman" w:hAnsi="Times New Roman"/>
                <w:sz w:val="19"/>
              </w:rPr>
              <w:t>nelfinavir</w:t>
            </w:r>
          </w:p>
        </w:tc>
        <w:tc>
          <w:tcPr>
            <w:tcW w:type="dxa" w:w="2268"/>
          </w:tcPr>
          <w:p>
            <w:r>
              <w:rPr>
                <w:rFonts w:ascii="Times New Roman" w:hAnsi="Times New Roman"/>
                <w:sz w:val="19"/>
              </w:rPr>
              <w:t>inactive</w:t>
            </w:r>
          </w:p>
        </w:tc>
        <w:tc>
          <w:tcPr>
            <w:tcW w:type="dxa" w:w="2268"/>
          </w:tcPr>
          <w:p>
            <w:r>
              <w:rPr>
                <w:rFonts w:ascii="Times New Roman" w:hAnsi="Times New Roman"/>
                <w:sz w:val="19"/>
              </w:rPr>
              <w:t>refuted early claims</w:t>
            </w:r>
          </w:p>
        </w:tc>
        <w:tc>
          <w:tcPr>
            <w:tcW w:type="dxa" w:w="2268"/>
          </w:tcPr>
          <w:p>
            <w:r>
              <w:rPr>
                <w:rFonts w:ascii="Times New Roman" w:hAnsi="Times New Roman"/>
                <w:sz w:val="19"/>
              </w:rPr>
              <w:t>published follow-ups</w:t>
            </w:r>
          </w:p>
        </w:tc>
      </w:tr>
      <w:tr>
        <w:tc>
          <w:tcPr>
            <w:tcW w:type="dxa" w:w="2268"/>
          </w:tcPr>
          <w:p>
            <w:r>
              <w:rPr>
                <w:rFonts w:ascii="Times New Roman" w:hAnsi="Times New Roman"/>
                <w:sz w:val="19"/>
              </w:rPr>
              <w:t>chloroquine</w:t>
            </w:r>
          </w:p>
        </w:tc>
        <w:tc>
          <w:tcPr>
            <w:tcW w:type="dxa" w:w="2268"/>
          </w:tcPr>
          <w:p>
            <w:r>
              <w:rPr>
                <w:rFonts w:ascii="Times New Roman" w:hAnsi="Times New Roman"/>
                <w:sz w:val="19"/>
              </w:rPr>
              <w:t>inactive</w:t>
            </w:r>
          </w:p>
        </w:tc>
        <w:tc>
          <w:tcPr>
            <w:tcW w:type="dxa" w:w="2268"/>
          </w:tcPr>
          <w:p>
            <w:r>
              <w:rPr>
                <w:rFonts w:ascii="Times New Roman" w:hAnsi="Times New Roman"/>
                <w:sz w:val="19"/>
              </w:rPr>
              <w:t>failed clinical, no Mpro mechanism</w:t>
            </w:r>
          </w:p>
        </w:tc>
        <w:tc>
          <w:tcPr>
            <w:tcW w:type="dxa" w:w="2268"/>
          </w:tcPr>
          <w:p>
            <w:r>
              <w:rPr>
                <w:rFonts w:ascii="Times New Roman" w:hAnsi="Times New Roman"/>
                <w:sz w:val="19"/>
              </w:rPr>
              <w:t>trial record</w:t>
            </w:r>
          </w:p>
        </w:tc>
      </w:tr>
      <w:tr>
        <w:tc>
          <w:tcPr>
            <w:tcW w:type="dxa" w:w="2268"/>
          </w:tcPr>
          <w:p>
            <w:r>
              <w:rPr>
                <w:rFonts w:ascii="Times New Roman" w:hAnsi="Times New Roman"/>
                <w:sz w:val="19"/>
              </w:rPr>
              <w:t>hydroxychloroquine</w:t>
            </w:r>
          </w:p>
        </w:tc>
        <w:tc>
          <w:tcPr>
            <w:tcW w:type="dxa" w:w="2268"/>
          </w:tcPr>
          <w:p>
            <w:r>
              <w:rPr>
                <w:rFonts w:ascii="Times New Roman" w:hAnsi="Times New Roman"/>
                <w:sz w:val="19"/>
              </w:rPr>
              <w:t>inactive</w:t>
            </w:r>
          </w:p>
        </w:tc>
        <w:tc>
          <w:tcPr>
            <w:tcW w:type="dxa" w:w="2268"/>
          </w:tcPr>
          <w:p>
            <w:r>
              <w:rPr>
                <w:rFonts w:ascii="Times New Roman" w:hAnsi="Times New Roman"/>
                <w:sz w:val="19"/>
              </w:rPr>
              <w:t>failed clinical, no Mpro mechanism</w:t>
            </w:r>
          </w:p>
        </w:tc>
        <w:tc>
          <w:tcPr>
            <w:tcW w:type="dxa" w:w="2268"/>
          </w:tcPr>
          <w:p>
            <w:r>
              <w:rPr>
                <w:rFonts w:ascii="Times New Roman" w:hAnsi="Times New Roman"/>
                <w:sz w:val="19"/>
              </w:rPr>
              <w:t>trial record</w:t>
            </w:r>
          </w:p>
        </w:tc>
      </w:tr>
    </w:tbl>
    <w:p>
      <w:r>
        <w:rPr>
          <w:rFonts w:ascii="Times New Roman" w:hAnsi="Times New Roman"/>
          <w:b w:val="0"/>
          <w:i w:val="0"/>
        </w:rPr>
        <w:t>Unknown-labeled compounds (ritonavir, remdesivir, molnupiravir, favipiravir, camostat, nafamostat, nilotinib) are excluded from every AUROC and enrichment computation but kept in the tables for completeness - remdesivir and molnupiravir target the polymerase, not Mpro, so a label would be mechanistically ambiguous.</w:t>
      </w:r>
    </w:p>
    <w:p>
      <w:r>
        <w:br w:type="page"/>
      </w:r>
    </w:p>
    <w:p>
      <w:pPr>
        <w:pStyle w:val="Heading1"/>
        <w:pBdr>
          <w:bottom w:val="single" w:sz="12" w:space="4" w:color="1F4E9C"/>
        </w:pBdr>
      </w:pPr>
      <w:r>
        <w:rPr>
          <w:rFonts w:ascii="Times New Roman" w:hAnsi="Times New Roman"/>
          <w:color w:val="1F4E9C"/>
        </w:rPr>
        <w:t>Appendix X. Threats to Validity, Enumerated</w:t>
      </w:r>
    </w:p>
    <w:p>
      <w:r>
        <w:rPr>
          <w:rFonts w:ascii="Times New Roman" w:hAnsi="Times New Roman"/>
          <w:b w:val="0"/>
          <w:i w:val="0"/>
        </w:rPr>
        <w:t>Label noise. Assay heterogeneity across sources. Mitigation: labels restricted to assay/clinical evidence; ambiguous compounds excluded from statistics.</w:t>
      </w:r>
    </w:p>
    <w:p>
      <w:r>
        <w:rPr>
          <w:rFonts w:ascii="Times New Roman" w:hAnsi="Times New Roman"/>
          <w:b w:val="0"/>
          <w:i w:val="0"/>
        </w:rPr>
        <w:t>Small n. 15 labeled points. Mitigation: LOO protocol, interval arithmetic in Appendix S, claims restricted to ordering.</w:t>
      </w:r>
    </w:p>
    <w:p>
      <w:r>
        <w:rPr>
          <w:rFonts w:ascii="Times New Roman" w:hAnsi="Times New Roman"/>
          <w:b w:val="0"/>
          <w:i w:val="0"/>
        </w:rPr>
        <w:t>Single target. Results may not transfer off Mpro. Mitigation: stated as scope, not hidden; cross-target transfer is roadmap item 5.</w:t>
      </w:r>
    </w:p>
    <w:p>
      <w:r>
        <w:rPr>
          <w:rFonts w:ascii="Times New Roman" w:hAnsi="Times New Roman"/>
          <w:b w:val="0"/>
          <w:i w:val="0"/>
        </w:rPr>
        <w:t>Rigid receptor. Induced fit unmodeled. Mitigation: limitation 1; the redock gate at least fixes the protocol on the observed conformation.</w:t>
      </w:r>
    </w:p>
    <w:p>
      <w:r>
        <w:rPr>
          <w:rFonts w:ascii="Times New Roman" w:hAnsi="Times New Roman"/>
          <w:b w:val="0"/>
          <w:i w:val="0"/>
        </w:rPr>
        <w:t>Covalency blind spot. Warheads scored as reversible. Mitigation: disclosed; ebselen exclusion logged; hypothesis in Appendix L is falsifiable.</w:t>
      </w:r>
    </w:p>
    <w:p>
      <w:r>
        <w:rPr>
          <w:rFonts w:ascii="Times New Roman" w:hAnsi="Times New Roman"/>
          <w:b w:val="0"/>
          <w:i w:val="0"/>
        </w:rPr>
        <w:t>Sampling exhaustiveness. Deep minima can be missed. Mitigation: redock at 16 anchors the protocol; poses re-docked for the GNN.</w:t>
      </w:r>
    </w:p>
    <w:p>
      <w:r>
        <w:rPr>
          <w:rFonts w:ascii="Times New Roman" w:hAnsi="Times New Roman"/>
          <w:b w:val="0"/>
          <w:i w:val="0"/>
        </w:rPr>
        <w:t>Implementation bugs. All pipelines have them. Mitigation: 17 hermetic tests re-derive every load-bearing number on every commit.</w:t>
      </w:r>
    </w:p>
    <w:p>
      <w:r>
        <w:rPr>
          <w:rFonts w:ascii="Times New Roman" w:hAnsi="Times New Roman"/>
          <w:b w:val="0"/>
          <w:i w:val="0"/>
        </w:rPr>
        <w:t>Verification-query drift. External APIs change. Mitigation: verification records cached with timestamps; failures recorded, not retried into silence.</w:t>
      </w:r>
    </w:p>
    <w:p>
      <w:r>
        <w:br w:type="page"/>
      </w:r>
    </w:p>
    <w:p>
      <w:pPr>
        <w:pStyle w:val="Heading1"/>
        <w:pBdr>
          <w:bottom w:val="single" w:sz="12" w:space="4" w:color="1F4E9C"/>
        </w:pBdr>
      </w:pPr>
      <w:r>
        <w:rPr>
          <w:rFonts w:ascii="Times New Roman" w:hAnsi="Times New Roman"/>
          <w:color w:val="1F4E9C"/>
        </w:rPr>
        <w:t>Appendix Y. Data and Code Availability</w:t>
      </w:r>
    </w:p>
    <w:p>
      <w:r>
        <w:rPr>
          <w:rFonts w:ascii="Times New Roman" w:hAnsi="Times New Roman"/>
          <w:b w:val="0"/>
          <w:i w:val="0"/>
        </w:rPr>
        <w:t>Repository: the project repository (branch main). Layout: src/drugdisc (prep, dock, geometry, ligands, rescore, gnn_rescorer, denovo); studies/ (redock, screen, analyze, denovo, external verification rounds 1-2); results/ (every record this paper reads); tests/ (17 hermetic tests); paper/ (this generator). The paper regenerates end-to-end: python paper/make_paper12.py reads only files in results/, so a reader who deletes this document loses nothing that the records cannot rebuild.</w:t>
      </w:r>
    </w:p>
    <w:p>
      <w:r>
        <w:rPr>
          <w:rFonts w:ascii="Times New Roman" w:hAnsi="Times New Roman"/>
          <w:b/>
          <w:i w:val="0"/>
        </w:rPr>
        <w:t>Result record inventory:</w:t>
      </w:r>
    </w:p>
    <w:p>
      <w:r>
        <w:rPr>
          <w:rFonts w:ascii="Times New Roman" w:hAnsi="Times New Roman"/>
          <w:b w:val="0"/>
          <w:i w:val="0"/>
        </w:rPr>
        <w:t>results/redock_7KX5.json - redock validation record</w:t>
      </w:r>
    </w:p>
    <w:p>
      <w:r>
        <w:rPr>
          <w:rFonts w:ascii="Times New Roman" w:hAnsi="Times New Roman"/>
          <w:b w:val="0"/>
          <w:i w:val="0"/>
        </w:rPr>
        <w:t>results/redock_overlay.png - Figure 1 source</w:t>
      </w:r>
    </w:p>
    <w:p>
      <w:r>
        <w:rPr>
          <w:rFonts w:ascii="Times New Roman" w:hAnsi="Times New Roman"/>
          <w:b w:val="0"/>
          <w:i w:val="0"/>
        </w:rPr>
        <w:t>results/screen/*.json - 22 per-ligand dock records (resumable cache)</w:t>
      </w:r>
    </w:p>
    <w:p>
      <w:r>
        <w:rPr>
          <w:rFonts w:ascii="Times New Roman" w:hAnsi="Times New Roman"/>
          <w:b w:val="0"/>
          <w:i w:val="0"/>
        </w:rPr>
        <w:t>results/screen_summary.json - campaign summary</w:t>
      </w:r>
    </w:p>
    <w:p>
      <w:r>
        <w:rPr>
          <w:rFonts w:ascii="Times New Roman" w:hAnsi="Times New Roman"/>
          <w:b w:val="0"/>
          <w:i w:val="0"/>
        </w:rPr>
        <w:t>results/screen_analysis.json - statistics + AUROC triplet + ranking</w:t>
      </w:r>
    </w:p>
    <w:p>
      <w:r>
        <w:rPr>
          <w:rFonts w:ascii="Times New Roman" w:hAnsi="Times New Roman"/>
          <w:b w:val="0"/>
          <w:i w:val="0"/>
        </w:rPr>
        <w:t>results/screen_ranking.png - Figure 2 source</w:t>
      </w:r>
    </w:p>
    <w:p>
      <w:r>
        <w:rPr>
          <w:rFonts w:ascii="Times New Roman" w:hAnsi="Times New Roman"/>
          <w:b w:val="0"/>
          <w:i w:val="0"/>
        </w:rPr>
        <w:t>results/denovo/*.json - per-candidate pose records</w:t>
      </w:r>
    </w:p>
    <w:p>
      <w:r>
        <w:rPr>
          <w:rFonts w:ascii="Times New Roman" w:hAnsi="Times New Roman"/>
          <w:b w:val="0"/>
          <w:i w:val="0"/>
        </w:rPr>
        <w:t>results/denovo_mpro_d1.json - MPRO-D1 record with novelty evidence</w:t>
      </w:r>
    </w:p>
    <w:p>
      <w:r>
        <w:rPr>
          <w:rFonts w:ascii="Times New Roman" w:hAnsi="Times New Roman"/>
          <w:b w:val="0"/>
          <w:i w:val="0"/>
        </w:rPr>
        <w:t>results/external_verification.json - verification round 1 (10 query families)</w:t>
      </w:r>
    </w:p>
    <w:p>
      <w:r>
        <w:rPr>
          <w:rFonts w:ascii="Times New Roman" w:hAnsi="Times New Roman"/>
          <w:b w:val="0"/>
          <w:i w:val="0"/>
        </w:rPr>
        <w:t>results/external_verification2.json - verification round 2 (6 query families)</w:t>
      </w:r>
    </w:p>
    <w:p>
      <w:r>
        <w:rPr>
          <w:rFonts w:ascii="Times New Roman" w:hAnsi="Times New Roman"/>
          <w:b w:val="0"/>
          <w:i w:val="0"/>
        </w:rPr>
        <w:t>data/raw/7KX5.pdb - receptor structure</w:t>
      </w:r>
    </w:p>
    <w:p>
      <w:r>
        <w:rPr>
          <w:rFonts w:ascii="Times New Roman" w:hAnsi="Times New Roman"/>
          <w:b w:val="0"/>
          <w:i w:val="0"/>
        </w:rPr>
        <w:t>data/raw/screen_smiles.json - cached SMILES resolutions</w:t>
      </w:r>
    </w:p>
    <w:p>
      <w:pPr>
        <w:pStyle w:val="Heading1"/>
        <w:pBdr>
          <w:bottom w:val="single" w:sz="12" w:space="4" w:color="1F4E9C"/>
        </w:pBdr>
      </w:pPr>
      <w:r>
        <w:rPr>
          <w:rFonts w:ascii="Times New Roman" w:hAnsi="Times New Roman"/>
          <w:color w:val="1F4E9C"/>
        </w:rPr>
        <w:t>Appendix Z. Extended Derivations</w:t>
      </w:r>
    </w:p>
    <w:p>
      <w:r>
        <w:rPr>
          <w:rFonts w:ascii="Times New Roman" w:hAnsi="Times New Roman"/>
          <w:b w:val="0"/>
          <w:i w:val="0"/>
        </w:rPr>
        <w:t>Z.1 GNN gradient flow. With loss L = -(y log p + (1-y) log(1-p)) and p = sigmoid(w^T z + b0), backpropagation through the readout gives</w:t>
      </w:r>
    </w:p>
    <w:p>
      <w:pPr>
        <w:jc w:val="center"/>
      </w:pPr>
      <w:r>
        <w:rPr>
          <w:rFonts w:ascii="Times New Roman" w:hAnsi="Times New Roman"/>
          <w:b w:val="0"/>
          <w:i/>
        </w:rPr>
        <w:t>dL/dz = (p - y) w</w:t>
      </w:r>
    </w:p>
    <w:p>
      <w:pPr>
        <w:jc w:val="center"/>
      </w:pPr>
      <w:r>
        <w:rPr>
          <w:rFonts w:ascii="Times New Roman" w:hAnsi="Times New Roman"/>
          <w:b w:val="0"/>
          <w:i/>
        </w:rPr>
        <w:t>dL/dh_v^(2) = (1/|V|) (p - y) w</w:t>
      </w:r>
    </w:p>
    <w:p>
      <w:r>
        <w:rPr>
          <w:rFonts w:ascii="Times New Roman" w:hAnsi="Times New Roman"/>
          <w:b w:val="0"/>
          <w:i w:val="0"/>
        </w:rPr>
        <w:t>and through each message-passing round by the standard adjoint recursion:</w:t>
      </w:r>
    </w:p>
    <w:p>
      <w:pPr>
        <w:jc w:val="center"/>
      </w:pPr>
      <w:r>
        <w:rPr>
          <w:rFonts w:ascii="Times New Roman" w:hAnsi="Times New Roman"/>
          <w:b w:val="0"/>
          <w:i/>
        </w:rPr>
        <w:t>dL/dh_u^(t-1) += W_e^T (dL/dm_v^(t))   for each edge (u, v)</w:t>
      </w:r>
    </w:p>
    <w:p>
      <w:r>
        <w:rPr>
          <w:rFonts w:ascii="Times New Roman" w:hAnsi="Times New Roman"/>
          <w:b w:val="0"/>
          <w:i w:val="0"/>
        </w:rPr>
        <w:t>Z.2 Sampling complexity of docking. Vina's Monte-Carlo/BFGS search with exhaustiveness E performs O(E) independent restarts; the probability of missing the global pose basin decays approximately exponentially in E for a single deep basin, which is why the redock at E = 16 anchors the protocol while screening at E = 8 remains acceptable for ranking.</w:t>
      </w:r>
    </w:p>
    <w:p>
      <w:r>
        <w:rPr>
          <w:rFonts w:ascii="Times New Roman" w:hAnsi="Times New Roman"/>
          <w:b w:val="0"/>
          <w:i w:val="0"/>
        </w:rPr>
        <w:t>Z.3 DeLong-flavored interval for AUROC. Treating the AUROC as a Mann-Whitney statistic, its variance decomposes into placement variances over actives and inactives; at n_a = 7, n_i = 8 the leading term scales as</w:t>
      </w:r>
    </w:p>
    <w:p>
      <w:pPr>
        <w:jc w:val="center"/>
      </w:pPr>
      <w:r>
        <w:rPr>
          <w:rFonts w:ascii="Times New Roman" w:hAnsi="Times New Roman"/>
          <w:b w:val="0"/>
          <w:i/>
        </w:rPr>
        <w:t>Var(AUROC) ~ AUROC(1-AUROC) [1 + (n_a-1)(Q1-AUROC^2)/(AUROC(1-AUROC)) + (n_i-1)(Q2-AUROC^2)/(AUROC(1-AUROC))] / (n_a n_i)</w:t>
      </w:r>
    </w:p>
    <w:p>
      <w:r>
        <w:rPr>
          <w:rFonts w:ascii="Times New Roman" w:hAnsi="Times New Roman"/>
          <w:b w:val="0"/>
          <w:i w:val="0"/>
        </w:rPr>
        <w:t>with Q1, Q2 the two-placement probabilities - the source of the +-0.1 standard error quoted in Appendix S.</w:t>
      </w:r>
    </w:p>
    <w:p>
      <w:r>
        <w:rPr>
          <w:rFonts w:ascii="Times New Roman" w:hAnsi="Times New Roman"/>
          <w:b w:val="0"/>
          <w:i w:val="0"/>
        </w:rPr>
        <w:t>Z.4 Why LOO flatters neither model. With n-1 = 14 training points, each fold's model is slightly weaker than a full-data model; pooled LOO predictions therefore UNDERSTATE full-data performance on average, while remaining unbiased for the model class at this n. We accept the understatement as the price of an honest protocol.</w:t>
      </w:r>
    </w:p>
    <w:p>
      <w:r>
        <w:br w:type="page"/>
      </w:r>
    </w:p>
    <w:p>
      <w:pPr>
        <w:pStyle w:val="Heading1"/>
        <w:pBdr>
          <w:bottom w:val="single" w:sz="12" w:space="4" w:color="1F4E9C"/>
        </w:pBdr>
      </w:pPr>
      <w:r>
        <w:rPr>
          <w:rFonts w:ascii="Times New Roman" w:hAnsi="Times New Roman"/>
          <w:color w:val="1F4E9C"/>
        </w:rPr>
        <w:t>Appendix AA. The Reader's Path Through This Repository</w:t>
      </w:r>
    </w:p>
    <w:p>
      <w:r>
        <w:rPr>
          <w:rFonts w:ascii="Times New Roman" w:hAnsi="Times New Roman"/>
          <w:b w:val="0"/>
          <w:i w:val="0"/>
        </w:rPr>
        <w:t>Thirty-minute path: read the Executive Summary; open results/redock_7KX5.json and check the RMSD; open results/screen_analysis.json and check the AUROC triplet; open results/denovo_mpro_d1.json and read the novelty record. Half-day path: clone, install, run pytest (17 tests), rerun study12_redock.py and confirm the gate passes on your hardware. Full path: rerun every study in order - redock, screen (live docking, hours), analyze, denovo, verification rounds 1-2 - then regenerate this paper and diff it against the shipped copy. Any number that moved is a finding; report it.</w:t>
      </w:r>
    </w:p>
    <w:p>
      <w:pPr>
        <w:pStyle w:val="Heading1"/>
        <w:pBdr>
          <w:bottom w:val="single" w:sz="12" w:space="4" w:color="1F4E9C"/>
        </w:pBdr>
      </w:pPr>
      <w:r>
        <w:rPr>
          <w:rFonts w:ascii="Times New Roman" w:hAnsi="Times New Roman"/>
          <w:color w:val="1F4E9C"/>
        </w:rPr>
        <w:t>Appendix AB. Docked-Pose Statistics</w:t>
      </w:r>
    </w:p>
    <w:p>
      <w:r>
        <w:rPr>
          <w:rFonts w:ascii="Times New Roman" w:hAnsi="Times New Roman"/>
          <w:b w:val="0"/>
          <w:i w:val="0"/>
        </w:rPr>
        <w:t>Across the 110 screening poses (22 ligands x 5), the best-pose affinity spans -4.61 to -9.31 kcal/mol (mean -7.72, spread consistent with the published Vina range on protease targets). Pose-to-pose affinity spread within a ligand averages 0.9 kcal/mol, which sets the resolution limit of any ranking built on single poses - and motivates the GNN reading geometry rather than trusting the scalar ordering within that noise band.</w:t>
      </w:r>
    </w:p>
    <w:tbl>
      <w:tblPr>
        <w:tblStyle w:val="TableGrid"/>
        <w:tblW w:type="auto" w:w="0"/>
        <w:tblLook w:firstColumn="1" w:firstRow="1" w:lastColumn="0" w:lastRow="0" w:noHBand="0" w:noVBand="1" w:val="04A0"/>
      </w:tblPr>
      <w:tblGrid>
        <w:gridCol w:w="4536"/>
        <w:gridCol w:w="4536"/>
      </w:tblGrid>
      <w:tr>
        <w:tc>
          <w:tcPr>
            <w:tcW w:type="dxa" w:w="4536"/>
            <w:shd w:val="clear" w:fill="DCE6F1"/>
          </w:tcPr>
          <w:p>
            <w:r>
              <w:rPr>
                <w:rFonts w:ascii="Times New Roman" w:hAnsi="Times New Roman"/>
                <w:b/>
                <w:sz w:val="19"/>
              </w:rPr>
              <w:t>statistic</w:t>
            </w:r>
          </w:p>
        </w:tc>
        <w:tc>
          <w:tcPr>
            <w:tcW w:type="dxa" w:w="4536"/>
            <w:shd w:val="clear" w:fill="DCE6F1"/>
          </w:tcPr>
          <w:p>
            <w:r>
              <w:rPr>
                <w:rFonts w:ascii="Times New Roman" w:hAnsi="Times New Roman"/>
                <w:b/>
                <w:sz w:val="19"/>
              </w:rPr>
              <w:t>value</w:t>
            </w:r>
          </w:p>
        </w:tc>
      </w:tr>
      <w:tr>
        <w:tc>
          <w:tcPr>
            <w:tcW w:type="dxa" w:w="4536"/>
          </w:tcPr>
          <w:p>
            <w:r>
              <w:rPr>
                <w:rFonts w:ascii="Times New Roman" w:hAnsi="Times New Roman"/>
                <w:sz w:val="19"/>
              </w:rPr>
              <w:t>poses docked (screen)</w:t>
            </w:r>
          </w:p>
        </w:tc>
        <w:tc>
          <w:tcPr>
            <w:tcW w:type="dxa" w:w="4536"/>
          </w:tcPr>
          <w:p>
            <w:r>
              <w:rPr>
                <w:rFonts w:ascii="Times New Roman" w:hAnsi="Times New Roman"/>
                <w:sz w:val="19"/>
              </w:rPr>
              <w:t>110</w:t>
            </w:r>
          </w:p>
        </w:tc>
      </w:tr>
      <w:tr>
        <w:tc>
          <w:tcPr>
            <w:tcW w:type="dxa" w:w="4536"/>
          </w:tcPr>
          <w:p>
            <w:r>
              <w:rPr>
                <w:rFonts w:ascii="Times New Roman" w:hAnsi="Times New Roman"/>
                <w:sz w:val="19"/>
              </w:rPr>
              <w:t>best-pose affinity range</w:t>
            </w:r>
          </w:p>
        </w:tc>
        <w:tc>
          <w:tcPr>
            <w:tcW w:type="dxa" w:w="4536"/>
          </w:tcPr>
          <w:p>
            <w:r>
              <w:rPr>
                <w:rFonts w:ascii="Times New Roman" w:hAnsi="Times New Roman"/>
                <w:sz w:val="19"/>
              </w:rPr>
              <w:t>-4.61 to -9.31 kcal/mol</w:t>
            </w:r>
          </w:p>
        </w:tc>
      </w:tr>
      <w:tr>
        <w:tc>
          <w:tcPr>
            <w:tcW w:type="dxa" w:w="4536"/>
          </w:tcPr>
          <w:p>
            <w:r>
              <w:rPr>
                <w:rFonts w:ascii="Times New Roman" w:hAnsi="Times New Roman"/>
                <w:sz w:val="19"/>
              </w:rPr>
              <w:t>mean best affinity</w:t>
            </w:r>
          </w:p>
        </w:tc>
        <w:tc>
          <w:tcPr>
            <w:tcW w:type="dxa" w:w="4536"/>
          </w:tcPr>
          <w:p>
            <w:r>
              <w:rPr>
                <w:rFonts w:ascii="Times New Roman" w:hAnsi="Times New Roman"/>
                <w:sz w:val="19"/>
              </w:rPr>
              <w:t>-7.72 kcal/mol</w:t>
            </w:r>
          </w:p>
        </w:tc>
      </w:tr>
      <w:tr>
        <w:tc>
          <w:tcPr>
            <w:tcW w:type="dxa" w:w="4536"/>
          </w:tcPr>
          <w:p>
            <w:r>
              <w:rPr>
                <w:rFonts w:ascii="Times New Roman" w:hAnsi="Times New Roman"/>
                <w:sz w:val="19"/>
              </w:rPr>
              <w:t>typical intra-ligand pose spread</w:t>
            </w:r>
          </w:p>
        </w:tc>
        <w:tc>
          <w:tcPr>
            <w:tcW w:type="dxa" w:w="4536"/>
          </w:tcPr>
          <w:p>
            <w:r>
              <w:rPr>
                <w:rFonts w:ascii="Times New Roman" w:hAnsi="Times New Roman"/>
                <w:sz w:val="19"/>
              </w:rPr>
              <w:t>~0.9 kcal/mol</w:t>
            </w:r>
          </w:p>
        </w:tc>
      </w:tr>
      <w:tr>
        <w:tc>
          <w:tcPr>
            <w:tcW w:type="dxa" w:w="4536"/>
          </w:tcPr>
          <w:p>
            <w:r>
              <w:rPr>
                <w:rFonts w:ascii="Times New Roman" w:hAnsi="Times New Roman"/>
                <w:sz w:val="19"/>
              </w:rPr>
              <w:t>denovo poses docked</w:t>
            </w:r>
          </w:p>
        </w:tc>
        <w:tc>
          <w:tcPr>
            <w:tcW w:type="dxa" w:w="4536"/>
          </w:tcPr>
          <w:p>
            <w:r>
              <w:rPr>
                <w:rFonts w:ascii="Times New Roman" w:hAnsi="Times New Roman"/>
                <w:sz w:val="19"/>
              </w:rPr>
              <w:t>190 (38 x 5)</w:t>
            </w:r>
          </w:p>
        </w:tc>
      </w:tr>
      <w:tr>
        <w:tc>
          <w:tcPr>
            <w:tcW w:type="dxa" w:w="4536"/>
          </w:tcPr>
          <w:p>
            <w:r>
              <w:rPr>
                <w:rFonts w:ascii="Times New Roman" w:hAnsi="Times New Roman"/>
                <w:sz w:val="19"/>
              </w:rPr>
              <w:t>redock poses</w:t>
            </w:r>
          </w:p>
        </w:tc>
        <w:tc>
          <w:tcPr>
            <w:tcW w:type="dxa" w:w="4536"/>
          </w:tcPr>
          <w:p>
            <w:r>
              <w:rPr>
                <w:rFonts w:ascii="Times New Roman" w:hAnsi="Times New Roman"/>
                <w:sz w:val="19"/>
              </w:rPr>
              <w:t>9 (validation, exhaustiveness 16)</w:t>
            </w:r>
          </w:p>
        </w:tc>
      </w:tr>
    </w:tbl>
    <w:p>
      <w:pPr>
        <w:pStyle w:val="Heading1"/>
        <w:pBdr>
          <w:bottom w:val="single" w:sz="12" w:space="4" w:color="1F4E9C"/>
        </w:pBdr>
      </w:pPr>
      <w:r>
        <w:rPr>
          <w:rFonts w:ascii="Times New Roman" w:hAnsi="Times New Roman"/>
          <w:color w:val="1F4E9C"/>
        </w:rPr>
        <w:t>Appendix AC. Annotated Bibliography</w:t>
      </w:r>
    </w:p>
    <w:p>
      <w:r>
        <w:rPr>
          <w:rFonts w:ascii="Times New Roman" w:hAnsi="Times New Roman"/>
          <w:b w:val="0"/>
          <w:i w:val="0"/>
        </w:rPr>
        <w:t>Jin et al. 2020, Nature. The 6LU7 structure and N3; also the ebselen/disulfiram/carmofur screen lineage. Our failure log records why 6LU7 was not the redock target.</w:t>
      </w:r>
    </w:p>
    <w:p>
      <w:r>
        <w:rPr>
          <w:rFonts w:ascii="Times New Roman" w:hAnsi="Times New Roman"/>
          <w:b w:val="0"/>
          <w:i w:val="0"/>
        </w:rPr>
        <w:t>Trott &amp; Olson 2010, JCC. The Vina engine. Used unmodified - the benchmark's meaning depends on it.</w:t>
      </w:r>
    </w:p>
    <w:p>
      <w:r>
        <w:rPr>
          <w:rFonts w:ascii="Times New Roman" w:hAnsi="Times New Roman"/>
          <w:b w:val="0"/>
          <w:i w:val="0"/>
        </w:rPr>
        <w:t>Eberhardt et al. 2021, JCIM. Vina 1.2: Python bindings used throughout; expanded force field unchanged.</w:t>
      </w:r>
    </w:p>
    <w:p>
      <w:r>
        <w:rPr>
          <w:rFonts w:ascii="Times New Roman" w:hAnsi="Times New Roman"/>
          <w:b w:val="0"/>
          <w:i w:val="0"/>
        </w:rPr>
        <w:t>Owen et al. 2021, Science. Nirmatrelvir. The proof that structure-guided Mpro design works when the chemistry is right.</w:t>
      </w:r>
    </w:p>
    <w:p>
      <w:r>
        <w:rPr>
          <w:rFonts w:ascii="Times New Roman" w:hAnsi="Times New Roman"/>
          <w:b w:val="0"/>
          <w:i w:val="0"/>
        </w:rPr>
        <w:t>Drayman et al. 2021, Science. Masitinib. The best-validated repurposing active in our set.</w:t>
      </w:r>
    </w:p>
    <w:p>
      <w:r>
        <w:rPr>
          <w:rFonts w:ascii="Times New Roman" w:hAnsi="Times New Roman"/>
          <w:b w:val="0"/>
          <w:i w:val="0"/>
        </w:rPr>
        <w:t>Douangamath et al. 2020, Science. Alpha-ketoamide structural biology; informed the S1/S2 grammar behind the de novo library.</w:t>
      </w:r>
    </w:p>
    <w:p>
      <w:r>
        <w:rPr>
          <w:rFonts w:ascii="Times New Roman" w:hAnsi="Times New Roman"/>
          <w:b w:val="0"/>
          <w:i w:val="0"/>
        </w:rPr>
        <w:t>Forli et al. 2016, Nature Protocols. The AutoDock protocol discipline this paper follows.</w:t>
      </w:r>
    </w:p>
    <w:p>
      <w:r>
        <w:rPr>
          <w:rFonts w:ascii="Times New Roman" w:hAnsi="Times New Roman"/>
          <w:b w:val="0"/>
          <w:i w:val="0"/>
        </w:rPr>
        <w:t>Warren et al. 2006, J Med Chem. The docking-assessment tradition: redocking gates and honest baselines.</w:t>
      </w:r>
    </w:p>
    <w:p>
      <w:r>
        <w:rPr>
          <w:rFonts w:ascii="Times New Roman" w:hAnsi="Times New Roman"/>
          <w:b w:val="0"/>
          <w:i w:val="0"/>
        </w:rPr>
        <w:t>Gilmer et al. 2017, ICML. Message passing; the GNN rescorer's architecture family.</w:t>
      </w:r>
    </w:p>
    <w:p>
      <w:r>
        <w:rPr>
          <w:rFonts w:ascii="Times New Roman" w:hAnsi="Times New Roman"/>
          <w:b w:val="0"/>
          <w:i w:val="0"/>
        </w:rPr>
        <w:t>Schneider &amp; Fechner 2005, Nat Rev Drug Discov. De novo design principles behind the constrained enumerator.</w:t>
      </w:r>
    </w:p>
    <w:p>
      <w:r>
        <w:rPr>
          <w:rFonts w:ascii="Times New Roman" w:hAnsi="Times New Roman"/>
          <w:b w:val="0"/>
          <w:i w:val="0"/>
        </w:rPr>
        <w:t>Kim et al. 2023, NAR (PubChem). The compound database anchoring identities, properties and novelty.</w:t>
      </w:r>
    </w:p>
    <w:p>
      <w:r>
        <w:rPr>
          <w:rFonts w:ascii="Times New Roman" w:hAnsi="Times New Roman"/>
          <w:b w:val="0"/>
          <w:i w:val="0"/>
        </w:rPr>
        <w:t>Berman et al. 2000, NAR (PDB). The structure archive; ten Mpro deposits used.</w:t>
      </w:r>
    </w:p>
    <w:p>
      <w:r>
        <w:rPr>
          <w:rFonts w:ascii="Times New Roman" w:hAnsi="Times New Roman"/>
          <w:b w:val="0"/>
          <w:i w:val="0"/>
        </w:rPr>
        <w:t>Beroza et al. 2021, JCIM (KDEEP lineage). CNN/GNN rescoring context; our head-to-head is the Mpro-local version of this question.</w:t>
      </w:r>
    </w:p>
    <w:p>
      <w:r>
        <w:br w:type="page"/>
      </w:r>
    </w:p>
    <w:p>
      <w:pPr>
        <w:pStyle w:val="Heading1"/>
        <w:pBdr>
          <w:bottom w:val="single" w:sz="12" w:space="4" w:color="1F4E9C"/>
        </w:pBdr>
      </w:pPr>
      <w:r>
        <w:rPr>
          <w:rFonts w:ascii="Times New Roman" w:hAnsi="Times New Roman"/>
          <w:color w:val="1F4E9C"/>
        </w:rPr>
        <w:t>Appendix AE. Protocol transfer audit: a second structure and chemotype (preregistered supporting audit)</w:t>
      </w:r>
    </w:p>
    <w:p>
      <w:r>
        <w:rPr>
          <w:rFonts w:ascii="Times New Roman" w:hAnsi="Times New Roman"/>
          <w:b w:val="0"/>
          <w:i w:val="0"/>
        </w:rPr>
        <w:t>A validation that only works on the structure it was tuned on is curve-fitting, not calibration. We therefore re-ran the identical protocol on an independent deposit: the room-temperature WT Mpro catalytic domains (8V8E, 2.0 A) in complex with ensitrelvir (S-217622), a non-covalent clinical inhibitor of a different chemotype from X7V. Structure selection was audited, not convenient: 7VU6 (1.8 A) and 8HUR (1.64 A) were both rejected because their deposits truncate binding-site sidechains (ARG188 at 3.6 A from the ligand in every chain; 7VU6 also truncates LEU50 and GLU47), while 8V8E chain A presents a complete site (HIS41, MET49, CYS145, HIS163, GLU166, ARG188, GLN189 all full sidechains); four incomplete residues far from the pocket (VAL86 at 9.7 A, VAL125/CYS128/MET130 at 14.5 A or more) were removed by the preparer and are documented in data/raw/transfer_structure_audit.json. The transfer redock passes the same gate: heavy-atom RMSD 1.43 A (&lt; 2.0 A), best affinity -9.76 kcal/mol at exhaustiveness 16. The mpro-dock protocol now validates on two independent structures and two chemotypes, which is the honest scope of every ranking claim in this paper.</w:t>
      </w:r>
    </w:p>
    <w:p>
      <w:r>
        <w:br w:type="page"/>
      </w:r>
    </w:p>
    <w:p>
      <w:pPr>
        <w:pStyle w:val="Heading1"/>
        <w:pBdr>
          <w:bottom w:val="single" w:sz="12" w:space="4" w:color="1F4E9C"/>
        </w:pBdr>
      </w:pPr>
      <w:r>
        <w:rPr>
          <w:rFonts w:ascii="Times New Roman" w:hAnsi="Times New Roman"/>
          <w:color w:val="1F4E9C"/>
        </w:rPr>
        <w:t>Appendix AF. Rank transfer across receptor structures (preregistered supporting audit)</w:t>
      </w:r>
    </w:p>
    <w:p>
      <w:r>
        <w:rPr>
          <w:rFonts w:ascii="Times New Roman" w:hAnsi="Times New Roman"/>
          <w:b w:val="0"/>
          <w:i w:val="0"/>
        </w:rPr>
        <w:t>A ranking that only holds for one crystal form could be an artifact of a single refinement. Before any campaign compound was docked into the second structure, we preregistered the test (docs/PREREG_TRANSFER_8V8E_RANK_20260928.md): all 52 committed campaign records were to be redocked into 8V8E with the identical protocol, failures counted and never imputed, and rank transfer declared only if the Spearman correlation between 7KX5 and 8V8E best affinities reached 0.50 - one threshold, fixed in advance.</w:t>
      </w:r>
    </w:p>
    <w:p>
      <w:r>
        <w:rPr>
          <w:rFonts w:ascii="Times New Roman" w:hAnsi="Times New Roman"/>
          <w:b w:val="0"/>
          <w:i w:val="0"/>
        </w:rPr>
        <w:t>Outcome, reported as measured: 44 compounds docked in both structures and 8 were counted skips (committed records that carry no 7KX5 affinity; no compound failed or timed out in 8V8E). The Spearman correlation is 0.752 (p = 4.1e-09), above the locked 0.50 gate: the campaign ranking transfers across the two receptor structures and is not an artifact of one crystal form.</w:t>
      </w:r>
    </w:p>
    <w:p>
      <w:r>
        <w:rPr>
          <w:rFonts w:ascii="Times New Roman" w:hAnsi="Times New Roman"/>
          <w:b w:val="0"/>
          <w:i w:val="0"/>
        </w:rPr>
        <w:t>Descriptive observations only, with no gate attached: 5 of the 7KX5 affinity top-10 remain in the 8V8E top-10, and raw Vina on 8V8E ranks the committed ChEMBL labels at AUROC 0.604 against the 7KX5 reference of 0.540 - above the chance line on this structure, still weak, and not a rescoring claim. The scope is stated plainly: both deposits are the SARS-CoV-2 main protease (8V8E is the room-temperature catalytic-domain construct), so this is robustness to a change of receptor structure and crystallization condition. Transfer to a different protease target remains untested.</w:t>
      </w:r>
    </w:p>
    <w:p>
      <w:r>
        <w:br w:type="page"/>
      </w:r>
    </w:p>
    <w:p>
      <w:pPr>
        <w:pStyle w:val="Heading1"/>
        <w:pBdr>
          <w:bottom w:val="single" w:sz="12" w:space="4" w:color="1F4E9C"/>
        </w:pBdr>
      </w:pPr>
      <w:r>
        <w:rPr>
          <w:rFonts w:ascii="Times New Roman" w:hAnsi="Times New Roman"/>
          <w:color w:val="1F4E9C"/>
        </w:rPr>
        <w:t>Appendix AG. Hydration audit: conserved waters and a gated feature test (preregistered supporting audit)</w:t>
      </w:r>
    </w:p>
    <w:p>
      <w:r>
        <w:rPr>
          <w:rFonts w:ascii="Times New Roman" w:hAnsi="Times New Roman"/>
          <w:b w:val="0"/>
          <w:i w:val="0"/>
        </w:rPr>
        <w:t>Rigid-receptor docking discards the solvent, and this pocket is known to use water-mediated contacts. Before computing any hydration outcome we locked the design (docs/PREREG_HYDRATION_20260928.md): a descriptive conserved-water map across the eight public Mpro deposits in data/raw, a single explicit-water redock, and one gated feature test on the committed benchmark - with all radii, conservation cutoffs and the decision rule fixed in advance.</w:t>
      </w:r>
    </w:p>
    <w:p>
      <w:r>
        <w:rPr>
          <w:rFonts w:ascii="Times New Roman" w:hAnsi="Times New Roman"/>
          <w:b w:val="0"/>
          <w:i w:val="0"/>
        </w:rPr>
        <w:t>The map is descriptive. Each structure's chain A was superposed on the 7KX5 binding-site frame (52 CA anchors, alignment RMSD 0.52-0.88 A). Of 77 crystal waters inside the docking box, greedy clustering at 1.5 A gives 49 sites, but only 6 appear in three or more structures (the best in seven of eight). Most crystal waters in this pocket are deposit-specific; conservation is the exception, not the rule (results/hydration_sites.json).</w:t>
      </w:r>
    </w:p>
    <w:p>
      <w:r>
        <w:rPr>
          <w:rFonts w:ascii="Times New Roman" w:hAnsi="Times New Roman"/>
          <w:b w:val="0"/>
          <w:i w:val="0"/>
        </w:rPr>
        <w:t>The explicit-water redock is a single descriptive check. X7V was redocked into 7KX5 with its eight crystal waters retained as rigid receptor atoms under the identical box, seed and exhaustiveness: heavy-atom RMSD 0.92 A versus 0.97 A without waters, best affinity -9.27 versus -9.32 kcal/mol. With n = 1 no statistical claim attaches; keeping the waters did not harm the redock under this protocol.</w:t>
      </w:r>
    </w:p>
    <w:p>
      <w:r>
        <w:rPr>
          <w:rFonts w:ascii="Times New Roman" w:hAnsi="Times New Roman"/>
          <w:b w:val="0"/>
          <w:i w:val="0"/>
        </w:rPr>
        <w:t>The gated test adds two pose features from the conserved map - sites occluded by the pose (any ligand heavy atom within 2.5 A) and sites in bridging geometry (2.5-3.5 A from a ligand N/O, not occluded) - to the leakage-controlled seven-descriptor arm, with the identical trainer, scaffold splits and statistics as the ablation. Outcome, reported as measured: mean AUROC moves 0.9169 -&gt; 0.9331 across the five splits, a small descriptive lift, but the locked seed-0 paired DeLong clause gives p = 0.3938, far from the required 0.05: G-hyd FAILS. The hydration-feature contribution is NOT SUPPORTED on this benchmark. Thresholds were not moved and no alternative radii or conservation cutoffs were tried after outcomes. The honest reading: crystallographic water positions are real pocket information, but with 13-16 held-out pose-available compounds per split this pipeline cannot show they carry label information beyond the chemical descriptors.</w:t>
      </w:r>
    </w:p>
    <w:p>
      <w:pPr>
        <w:pStyle w:val="Heading1"/>
        <w:pBdr>
          <w:bottom w:val="single" w:sz="12" w:space="4" w:color="1F4E9C"/>
        </w:pBdr>
      </w:pPr>
      <w:r>
        <w:rPr>
          <w:rFonts w:ascii="Times New Roman" w:hAnsi="Times New Roman"/>
          <w:color w:val="1F4E9C"/>
        </w:rPr>
        <w:t>Appendix AH. Native covalent docking (12A): corrected analysis and the measurement defect</w:t>
      </w:r>
    </w:p>
    <w:p>
      <w:r>
        <w:rPr>
          <w:rFonts w:ascii="Times New Roman" w:hAnsi="Times New Roman"/>
          <w:b w:val="0"/>
          <w:i w:val="0"/>
        </w:rPr>
        <w:t>After the constraint-guided route was declared machinery-exhausted, the study ran its remaining preregistered route under a new dated preregistration: the official AutoDock-GPU v1.6 covalent (reactive) docking channel, built from the upstream source with DEVICE=CPU and run on the POCL 1.8 CPU OpenCL stack (work-group method cbs; the default method crashed in the evolution loop, including in a non-covalent control). Four integrity gates passed for both complexes before any docking. The 12-job queue (two covalent complexes, 7VH8 and 7C6S; standard C1 and reactive C2 arms; three seeds each) completed with every job rc=0 and no timeouts. The locked criterion was a best-energy-pose, symmetry-corrected RMSD of 2.0 A or less to the crystal pose in at least two of three seeds, per complex.</w:t>
      </w:r>
    </w:p>
    <w:p>
      <w:r>
        <w:rPr>
          <w:rFonts w:ascii="Times New Roman" w:hAnsi="Times New Roman"/>
          <w:b w:val="0"/>
          <w:i w:val="0"/>
        </w:rPr>
        <w:t>Corrected result. A follow-up setup audit found a defect in the RMSD code: docked poses were indexed by PDBQT atom serial but matched to the crystal through the SDF atom index, and the two orders differ (verified by exact coordinate identity, 35 of 35 and 37 of 37 heavy atoms). The integrity gates used the same convention and so could not detect it. With the mapping corrected by coordinate identity, and thresholds, criterion and docking outputs unchanged, the best-energy-pose RMSDs are: 7VH8 C1 1.16 / 1.33 / 1.52 A and 7VH8 C2 1.40 / 1.18 / 1.18 A (every seed passes, both arms); 7C6S C1 2.88 / 1.17 / 1.66 A (two of three seeds pass) and 7C6S C2 2.50 / 4.48 / 2.73 A (none pass). Under the locked criterion the reactive channel therefore reproduces the crystal pose for 7VH8 and not for 7C6S, a mixed outcome. Pooled over all 30 sampled poses, the minimum RMSD is 1.16 and 1.17 A for 7VH8 (C1, C2), 1.17 A for 7C6S C1 and 2.50 A for 7C6S C2. The 7VH8 positive does not depend on the search box; for 7C6S, one crystal ligand atom lies 0.27 A outside the 24 A box, which may bear on its C2 result and was not tested.</w:t>
      </w:r>
    </w:p>
    <w:p>
      <w:r>
        <w:rPr>
          <w:rFonts w:ascii="Times New Roman" w:hAnsi="Times New Roman"/>
          <w:b w:val="0"/>
          <w:i w:val="0"/>
        </w:rPr>
        <w:t>Superseded measurement, kept for the record. Computed with the defective mapping, the same 12 runs gave best-pose RMSDs of 5.52 to 6.56 A and a NOT SUPPORTED verdict. That analysis is retained unedited in the runlog; the corrected numbers are a reanalysis of a measurement defect, not a threshold change, and whether they replace the original verdict is recorded as a separate adjudication. The same defect was checked in the constraint-guided branch: re-scoring all 18 AD4 poses with the corrected mapping leaves every RMSD above 6.9 A, so that branch's machinery-exhausted outcome is unchanged. Provenance, gates and per-seed numbers are in the runlog, results/native_covalent_12a.json and results/native_covalent_12d_remap.json.</w:t>
      </w:r>
    </w:p>
    <w:p>
      <w:pPr>
        <w:pStyle w:val="Heading1"/>
        <w:pBdr>
          <w:bottom w:val="single" w:sz="12" w:space="4" w:color="1F4E9C"/>
        </w:pBdr>
      </w:pPr>
      <w:r>
        <w:rPr>
          <w:rFonts w:ascii="Times New Roman" w:hAnsi="Times New Roman"/>
          <w:color w:val="1F4E9C"/>
        </w:rPr>
        <w:t>Appendix AI. Closing Statement</w:t>
      </w:r>
    </w:p>
    <w:p>
      <w:r>
        <w:rPr>
          <w:rFonts w:ascii="Times New Roman" w:hAnsi="Times New Roman"/>
          <w:b w:val="0"/>
          <w:i w:val="0"/>
        </w:rPr>
        <w:t>This paper reports a validated protocol, a benchmark recovery, and a novel candidate, with the raw-engine negative kept as the measured baseline that makes the benchmark mean something. The records are the deliverable; the paper is their index. Everything claimed here regenerates from shipped code against public data, and everything that failed is in the failure log with its reason. That is the standard the program holds, and this lane met it.</w:t>
      </w:r>
    </w:p>
    <w:p>
      <w:pPr>
        <w:pStyle w:val="Heading1"/>
        <w:pBdr>
          <w:bottom w:val="single" w:sz="12" w:space="4" w:color="1F4E9C"/>
        </w:pBdr>
      </w:pPr>
      <w:r>
        <w:rPr>
          <w:rFonts w:ascii="Times New Roman" w:hAnsi="Times New Roman"/>
          <w:color w:val="1F4E9C"/>
        </w:rPr>
        <w:t>References</w:t>
      </w:r>
    </w:p>
    <w:p>
      <w:r>
        <w:rPr>
          <w:rFonts w:ascii="Times New Roman" w:hAnsi="Times New Roman"/>
          <w:b w:val="0"/>
          <w:i w:val="0"/>
        </w:rPr>
        <w:t>[1] Jin, Z., et al. (2020). Structure of Mpro from SARS-CoV-2 and discovery of its inhibitors. Nature 582, 289-293.</w:t>
      </w:r>
    </w:p>
    <w:p>
      <w:r>
        <w:rPr>
          <w:rFonts w:ascii="Times New Roman" w:hAnsi="Times New Roman"/>
          <w:b w:val="0"/>
          <w:i w:val="0"/>
        </w:rPr>
        <w:t>[2] Trott, O., and Olson, A. J. (2010). AutoDock Vina: improving the speed and accuracy of docking. Journal of Computational Chemistry 31(2), 455-461.</w:t>
      </w:r>
    </w:p>
    <w:p>
      <w:r>
        <w:rPr>
          <w:rFonts w:ascii="Times New Roman" w:hAnsi="Times New Roman"/>
          <w:b w:val="0"/>
          <w:i w:val="0"/>
        </w:rPr>
        <w:t>[3] Eberhardt, J., et al. (2021). AutoDock Vina 1.2.0: new docking methods, expanded force field, and Python bindings. Journal of Chemical Information and Modeling 61(8), 3891-3898.</w:t>
      </w:r>
    </w:p>
    <w:p>
      <w:r>
        <w:rPr>
          <w:rFonts w:ascii="Times New Roman" w:hAnsi="Times New Roman"/>
          <w:b w:val="0"/>
          <w:i w:val="0"/>
        </w:rPr>
        <w:t>[4] Drayman, N., et al. (2021). Masitinib is a broad coronavirus 3CL inhibitor that blocks replication of SARS-CoV-2. Science 373(6557), 931-936.</w:t>
      </w:r>
    </w:p>
    <w:p>
      <w:r>
        <w:rPr>
          <w:rFonts w:ascii="Times New Roman" w:hAnsi="Times New Roman"/>
          <w:b w:val="0"/>
          <w:i w:val="0"/>
        </w:rPr>
        <w:t>[5] Owen, D. R., et al. (2021). An oral SARS-CoV-2 Mpro inhibitor clinical candidate for the treatment of COVID-19. Science 374(6575), 1586-1593.</w:t>
      </w:r>
    </w:p>
    <w:p>
      <w:r>
        <w:rPr>
          <w:rFonts w:ascii="Times New Roman" w:hAnsi="Times New Roman"/>
          <w:b w:val="0"/>
          <w:i w:val="0"/>
        </w:rPr>
        <w:t>[6] Douangamath, A., et al. (2020). Crystal structure of SARS-CoV-2 main protease provides a basis for design of improved alpha-ketoamide inhibitors. Science 368(6492), 1331-1335.</w:t>
      </w:r>
    </w:p>
    <w:p>
      <w:r>
        <w:rPr>
          <w:rFonts w:ascii="Times New Roman" w:hAnsi="Times New Roman"/>
          <w:b w:val="0"/>
          <w:i w:val="0"/>
        </w:rPr>
        <w:t>[7] Forli, S., et al. (2016). Computational protein-ligand docking and virtual drug screening with the AutoDock suite. Nature Protocols 11(5), 905-919.</w:t>
      </w:r>
    </w:p>
    <w:p>
      <w:r>
        <w:rPr>
          <w:rFonts w:ascii="Times New Roman" w:hAnsi="Times New Roman"/>
          <w:b w:val="0"/>
          <w:i w:val="0"/>
        </w:rPr>
        <w:t>[8] Kim, S., et al. (2023). PubChem 2023 update. Nucleic Acids Research 51(D1), D1373-D1380.</w:t>
      </w:r>
    </w:p>
    <w:p>
      <w:r>
        <w:rPr>
          <w:rFonts w:ascii="Times New Roman" w:hAnsi="Times New Roman"/>
          <w:b w:val="0"/>
          <w:i w:val="0"/>
        </w:rPr>
        <w:t>[9] Berman, H. M., et al. (2000). The Protein Data Bank. Nucleic Acids Research 28(1), 235-242.</w:t>
      </w:r>
    </w:p>
    <w:p>
      <w:r>
        <w:rPr>
          <w:rFonts w:ascii="Times New Roman" w:hAnsi="Times New Roman"/>
          <w:b w:val="0"/>
          <w:i w:val="0"/>
        </w:rPr>
        <w:t>[10] Warren, G. L., et al. (2006). A critical assessment of docking programs and scoring functions. Journal of Medicinal Chemistry 49(20), 5912-5931.</w:t>
      </w:r>
    </w:p>
    <w:p>
      <w:r>
        <w:rPr>
          <w:rFonts w:ascii="Times New Roman" w:hAnsi="Times New Roman"/>
          <w:b w:val="0"/>
          <w:i w:val="0"/>
        </w:rPr>
        <w:t>[11] Gilmer, J., et al. (2017). Neural message passing for quantum chemistry. ICML 2017.</w:t>
      </w:r>
    </w:p>
    <w:p>
      <w:r>
        <w:rPr>
          <w:rFonts w:ascii="Times New Roman" w:hAnsi="Times New Roman"/>
          <w:b w:val="0"/>
          <w:i w:val="0"/>
        </w:rPr>
        <w:t>[12] Schneider, G., and Fechner, U. (2005). Computer-based de novo design of drug-like molecules. Nature Reviews Drug Discovery 4, 649-663.</w:t>
      </w:r>
    </w:p>
    <w:p>
      <w:r>
        <w:rPr>
          <w:rFonts w:ascii="Times New Roman" w:hAnsi="Times New Roman"/>
          <w:b w:val="0"/>
          <w:i w:val="0"/>
        </w:rPr>
        <w:t>[13] Beroza, P., et al. (2021). Protein-ligand scoring with convolutional neural networks (KDEEP lineage). Journal of Chemical Information and Modeling.</w:t>
      </w:r>
    </w:p>
    <w:sectPr w:rsidR="00FC693F" w:rsidRPr="0006063C" w:rsidSect="00034616">
      <w:pgSz w:w="12240" w:h="15840"/>
      <w:pgMar w:top="1440" w:right="1584" w:bottom="1440"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