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(3) A de novo candidate, MPRO-D1, docking at -8.76 kcal/mol under the validated protocol, maximally dissimilar to every screened drug (Tanimoto 0.16), verified absent from PubChem as an exact structure, with close analogs disclosed. (4) The baseline that anchors the benchmark, reported as measured: raw Vina affinity does NOT rank actives above inactives on this set (AUROC 0.339, below random; top-8 hypergeometric p = 0.900) - without that negative the rescorer numbers would be unanchored.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This study delivers a validated structure-based discovery pipeline for the SARS-CoV-2 main protease (Mpro), a quantified head-to-head benchmark of learned rescoring against the empirical docking engine, and MPRO-D1, a novel de novo candidate with a live-verified novelty record. Using the real AutoDock Vina 1.2 engine, we validate the protocol by redocking the non-covalent inhibitor JUN8-76-3A into Mpro (PDB 7KX5): the docked pose reproduces the experimental binding mode at 0.97 A heavy-atom RMSD, inside the community-standard 2.0 A gate, at -9.32 kcal/mol. Docking a curated set of 22 real approved and clinical compounds with literature Mpro labels sets the baseline the benchmark must beat, and it is reported as measured: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3.1b),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r>
        <w:rPr>
          <w:rFonts w:ascii="Times New Roman" w:hAnsi="Times New Roman"/>
          <w:b w:val="0"/>
          <w:i w:val="0"/>
        </w:rPr>
        <w:t>Three preregistered supporting audits - transfer of the validated protocol to a second structure and chemotype, rank transfer across receptor structures, and a gated hydration-feature test - are preserved in full as Appendices AE, AF and AG. Their verdicts are unchanged and feed the Discussion; the main text now keeps the pillars only: the validated protocol and the benchmark built on it, the honest negatives, and the candidate.</w:t>
      </w:r>
    </w:p>
    <w:p>
      <w:pPr>
        <w:pStyle w:val="Heading2"/>
      </w:pPr>
      <w:r>
        <w:rPr>
          <w:rFonts w:ascii="Times New Roman" w:hAnsi="Times New Roman"/>
          <w:color w:val="1F4E9C"/>
        </w:rPr>
        <w:t>3.1b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3.1c Constraint-guided placement audit: verified constraint machinery, an inconclusive first execution</w:t>
      </w:r>
    </w:p>
    <w:p>
      <w:r>
        <w:rPr>
          <w:rFonts w:ascii="Times New Roman" w:hAnsi="Times New Roman"/>
          <w:b w:val="0"/>
          <w:i w:val="0"/>
        </w:rPr>
        <w:t>A second route to the same covalent question was locked before any outcome (docs/PREREG_CONSTRAINT_GUIDED_12B_20260928.md): add one fixed Gaussian well, centred on the crystallographic attachment point, to a single atom-type affinity map, hold every other element of the protocol constant, and ask whether the constrained search then reproduces the crystallographic pose under the same decision rule as the audits above (best-energy pose, 2.0 A, at least two of three fixed seeds, on the same two complexes). The constraint machinery passed all three locked integrity gates before any outcome was read: score-only evaluation recovered the added well exactly (observed energy shift -2.6014 kcal/mol against -2.6014 expected for 7VH8; -2.6863 against -2.6863 for 7C6S), a byte-level audit confirmed that only the intended map file differed from engine-generated output, and the pose matcher mapped each crystallographic adduct onto itself at 0.0 A.</w:t>
      </w:r>
    </w:p>
    <w:p>
      <w:r>
        <w:rPr>
          <w:rFonts w:ascii="Times New Roman" w:hAnsi="Times New Roman"/>
          <w:b w:val="0"/>
          <w:i w:val="0"/>
        </w:rPr>
        <w:t>The locked engine for this branch, the Vina 1.2.7 Python bindings, could not read grid maps in this environment: the map loader fails to discover existing map files, the map writer crashes, and no compatible earlier build is installable. Under a dated amendment preregistration committed before any arm executed (docs/PREREG_CONSTRAINT_GUIDED_12B_AMENDMENT_ENGINE_20260928.md), the identical constraint, maps, seeds and decision rule were therefore run on the autodock4 4.2.7.x engine compiled for the audit of Section 3.1b. This is an engine substitution from the original lock and is disclosed as such; every other locked element carried over unchanged.</w:t>
      </w:r>
    </w:p>
    <w:p>
      <w:r>
        <w:rPr>
          <w:rFonts w:ascii="Times New Roman" w:hAnsi="Times New Roman"/>
          <w:b w:val="0"/>
          <w:i w:val="0"/>
        </w:rPr>
        <w:t>Outcome, reported as measured (results/constraint_guided_12b.json): under the locked criterion the result is NOT SUPPORTED, with best-pose RMSDs of 22.31, 22.55 and 15.15 A for 7VH8 and 7.59, 8.61 and 7.05 A for 7C6S - zero of three seeds passing in either complex. Two measured facts show that this execution did not actually test the constraint question. In all six constrained runs, every reported model energy and the best-pose coordinates are identical at full precision to the control runs that lacked the well, so the verified bias had no measurable effect on the search; and the 7VH8 docked energies are physically implausible (about +4.1e6 kcal/mol), the same signature as the mis-parameterized reactive runs of Section 3.1b. This execution is therefore recorded as machinery-limited: it neither supports nor falsifies constraint-guided placement, and it does not count toward exhaustion of the question. The adjudicated next test is the originally locked Vina engine built from source; only if that build also fails mechanically is the question declared machinery-exhausted, at which point the study pivots under a new dated preregistration.</w:t>
      </w:r>
    </w:p>
    <w:p>
      <w:pPr>
        <w:pStyle w:val="Heading2"/>
      </w:pPr>
      <w:r>
        <w:rPr>
          <w:rFonts w:ascii="Times New Roman" w:hAnsi="Times New Roman"/>
          <w:color w:val="1F4E9C"/>
        </w:rPr>
        <w:t>3.1d Constraint-guided placement audit, continued: the locked engine recovered, the question machinery-exhausted</w:t>
      </w:r>
    </w:p>
    <w:p>
      <w:r>
        <w:rPr>
          <w:rFonts w:ascii="Times New Roman" w:hAnsi="Times New Roman"/>
          <w:b w:val="0"/>
          <w:i w:val="0"/>
        </w:rPr>
        <w:t>The originally locked engine was then recovered: AutoDock Vina 1.2.7 was built from source in this environment (tag v1.2.7, static link), and the original 12B lock was executed with the intended engine for the first time. The build also resolved the map-loading blocker at its root: with the vina scoring function the map loader discovers grid files by X-Score atom-type names rather than AD4 type names, so the previously suspected packaging defect was no defect at all - the from-source build behaves identically. Byte-identical map views under the expected names restored map loading without altering any locked map value, and two of the three locked integrity gates passed: the byte audit confirmed that only the intended map differs, and the pose matcher again self-mapped at 0.0 A.</w:t>
      </w:r>
    </w:p>
    <w:p>
      <w:r>
        <w:rPr>
          <w:rFonts w:ascii="Times New Roman" w:hAnsi="Times New Roman"/>
          <w:b w:val="0"/>
          <w:i w:val="0"/>
        </w:rPr>
        <w:t>The lock's first integrity gate, however, rested on a false premise, discovered before any docking arm ran: it presumed that Vina-computed grids and the locked autogrid AD4-potential maps would score a fixed pose equivalently, and they differ by 6,374.5 and 5,336.1 kcal/mol on the two complexes against a locked tolerance of 0.05 - different potential sets, not a constraint failure. Under a second dated amendment committed before any arm executed (docs/PREREG_CONSTRAINT_GUIDED_12B_AMENDMENT_G1_20260928.md), that gate was replaced with a well-recovery gate of the same form the substituted engine had passed: score a probe pose anchored with its warhead exactly on the crystallographic attachment point against the unmodified and biased map sets, requiring the measured shift to match the map-implied shift within 0.05 kcal/mol, the tolerance locked before the gate was run.</w:t>
      </w:r>
    </w:p>
    <w:p>
      <w:r>
        <w:rPr>
          <w:rFonts w:ascii="Times New Roman" w:hAnsi="Times New Roman"/>
          <w:b w:val="0"/>
          <w:i w:val="0"/>
        </w:rPr>
        <w:t>The corrected gate fails on both complexes: measured shifts of -1.704 and -1.635 kcal/mol against map-implied shifts of -2.601 and -2.686 kcal/mol (absolute errors 0.897 and 1.051 against the locked 0.05 tolerance; the engine scorings are exactly deterministic and the byte audit and self-map checks passed). The measured shift is present and correctly signed but does not match the locked expectation, so delivery of the well into this engine's grid evaluation cannot be verified, and no docking arm was run. With four machinery limitations now documented in sequence - the map-discovery blocker, the substituted engine's undelivered constraint (Section 3.1c), the original lock's false-premise gate, and the failed well-recovery gate - the constraint-guided question is declared machinery-exhausted in this environment: it cannot be tested here under locked, verifiable conditions. Per the adjudicated pivot order the study turns to the remaining preregistered route, a native covalent engine, under a new dated preregistration.</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 pose-graph rescoring benchmark that recovers ranking to 0.871 +/- 0.050 leave-one-out on the same labels, with the n = 59 bigscreen as the primary learned-rescoring verdict; and MPRO-D1, a novel de novo candidate with a live-verified novelty record and a falsifiable prediction. The raw-docking screen's negative (AUROC 0.339) is kept as the measured baseline that anchors the benchmark. The pipeline extends to new targets by changing one structure file and one ligand list.</w:t>
      </w:r>
    </w:p>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r>
        <w:br w:type="page"/>
      </w:r>
    </w:p>
    <w:p>
      <w:pPr>
        <w:pStyle w:val="Heading1"/>
        <w:pBdr>
          <w:bottom w:val="single" w:sz="12" w:space="4" w:color="1F4E9C"/>
        </w:pBdr>
      </w:pPr>
      <w:r>
        <w:rPr>
          <w:rFonts w:ascii="Times New Roman" w:hAnsi="Times New Roman"/>
          <w:color w:val="1F4E9C"/>
        </w:rPr>
        <w:t>Appendix AE. Protocol transfer audit: a second structure and chemotype (preregistered supporting audit)</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r>
        <w:br w:type="page"/>
      </w:r>
    </w:p>
    <w:p>
      <w:pPr>
        <w:pStyle w:val="Heading1"/>
        <w:pBdr>
          <w:bottom w:val="single" w:sz="12" w:space="4" w:color="1F4E9C"/>
        </w:pBdr>
      </w:pPr>
      <w:r>
        <w:rPr>
          <w:rFonts w:ascii="Times New Roman" w:hAnsi="Times New Roman"/>
          <w:color w:val="1F4E9C"/>
        </w:rPr>
        <w:t>Appendix AF. Rank transfer across receptor structures (preregistered supporting audit)</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r>
        <w:br w:type="page"/>
      </w:r>
    </w:p>
    <w:p>
      <w:pPr>
        <w:pStyle w:val="Heading1"/>
        <w:pBdr>
          <w:bottom w:val="single" w:sz="12" w:space="4" w:color="1F4E9C"/>
        </w:pBdr>
      </w:pPr>
      <w:r>
        <w:rPr>
          <w:rFonts w:ascii="Times New Roman" w:hAnsi="Times New Roman"/>
          <w:color w:val="1F4E9C"/>
        </w:rPr>
        <w:t>Appendix AG. Hydration audit: conserved waters and a gated feature test (preregistered supporting audit)</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1"/>
        <w:pBdr>
          <w:bottom w:val="single" w:sz="12" w:space="4" w:color="1F4E9C"/>
        </w:pBdr>
      </w:pPr>
      <w:r>
        <w:rPr>
          <w:rFonts w:ascii="Times New Roman" w:hAnsi="Times New Roman"/>
          <w:color w:val="1F4E9C"/>
        </w:rPr>
        <w:t>Appendix AH. Native covalent docking (12A), preregistered and measured</w:t>
      </w:r>
    </w:p>
    <w:p>
      <w:r>
        <w:rPr>
          <w:rFonts w:ascii="Times New Roman" w:hAnsi="Times New Roman"/>
          <w:b w:val="0"/>
          <w:i w:val="0"/>
        </w:rPr>
        <w:t>After the constraint-guided route was declared machinery-exhausted, the study ran its remaining preregistered route under a new dated preregistration: the official AutoDock-GPU v1.6 covalent (reactive) docking channel, built from the upstream source with DEVICE=CPU and run on the POCL 1.8 CPU OpenCL stack (work-group method cbs; the default method crashed in the evolution loop, including in a non-covalent control). Four integrity gates passed for both complexes before any docking. The 12-job queue (two covalent complexes, 7VH8 and 7C6S; standard C1 and reactive C2 arms; three seeds each) completed with every job rc=0 and no timeouts. The locked criterion was a best-energy-pose, symmetry-corrected RMSD of 2.0 A or less to the crystal pose in at least two of three seeds.</w:t>
      </w:r>
    </w:p>
    <w:p>
      <w:r>
        <w:rPr>
          <w:rFonts w:ascii="Times New Roman" w:hAnsi="Times New Roman"/>
          <w:b w:val="0"/>
          <w:i w:val="0"/>
        </w:rPr>
        <w:t>Outcome, reported as measured: no arm of either complex passes. Best-pose RMSDs lie between 5.52 and 6.56 A for all twelve runs (7VH8 C1 5.70-5.86, 7VH8 C2 5.61-5.80, 7C6S C1 5.53-6.04, 7C6S C2 5.52-6.56). The verdict is NOT SUPPORTED. The reactive channel did find lower best energies than the standard arm in both complexes (about -12.5 to -14.0 against -9.8 to -11.3 kcal/mol), which is a real scoring effect, but it does not translate into crystal-pose recovery. Thresholds and the rule were not changed after outcomes. Provenance, gate records and per-seed numbers are in the runlog and results/native_covalent_12a.json.</w:t>
      </w:r>
    </w:p>
    <w:p>
      <w:pPr>
        <w:pStyle w:val="Heading1"/>
        <w:pBdr>
          <w:bottom w:val="single" w:sz="12" w:space="4" w:color="1F4E9C"/>
        </w:pBdr>
      </w:pPr>
      <w:r>
        <w:rPr>
          <w:rFonts w:ascii="Times New Roman" w:hAnsi="Times New Roman"/>
          <w:color w:val="1F4E9C"/>
        </w:rPr>
        <w:t>Appendix AI. Closing Statement</w:t>
      </w:r>
    </w:p>
    <w:p>
      <w:r>
        <w:rPr>
          <w:rFonts w:ascii="Times New Roman" w:hAnsi="Times New Roman"/>
          <w:b w:val="0"/>
          <w:i w:val="0"/>
        </w:rPr>
        <w:t>This paper reports a validated protocol, a benchmark recovery, and a novel candidate, with the raw-engine negative kept as the measured baseline that makes the benchmark mean something.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