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an Honest Docking Negative,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An honest negative: raw Vina affinity does NOT rank actives above inactives on this set (AUROC 0.339, below random; top-8 hypergeometric p = 0.900). (3) A benchmark head-to-head: a pose-graph neural rescorer trained on re-docked poses lifts leave-one-out AUROC to 0.871 +/- 0.050 (5 seeds) versus 0.679 for a descriptor MLP and 0.339 for the raw engine, on the same 15 labeled compounds. (4) A de novo candidate, MPRO-D1, docking at -8.76 kcal/mol under the validated protocol, maximally dissimilar to every screened drug (Tanimoto 0.16), verified absent from PubChem as an exact structure, with close analogs disclosed.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Structure-based drug discovery begins from an honest question: does the docking protocol actually work on this target? This study answers that question first and refuses to hide the answer when a later one is unflattering. Using the real AutoDock Vina 1.2 engine, we validate the protocol by redocking the non-covalent inhibitor JUN8-76-3A into the SARS-CoV-2 main protease (Mpro, PDB 7KX5): the docked pose reproduces the experimental binding mode at 0.97 A heavy-atom RMSD, inside the community-standard 2.0 A gate, at -9.32 kcal/mol. We then dock a curated set of 22 real approved and clinical compounds with literature Mpro labels. The campaign delivers an honest negative: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and the limitations - rigid receptor, no covalency, n = 15 labeled compounds - are stated where they bite.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n~65 extended screen now running is the verdict that matters; until it lands, every GNN number in this paper should be read with this correction attached. The 0.946 figure is withdrawn.</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recovery curve (0.34 -&gt; 0.68 -&gt; 0.95) is a compact empirical answer to a live methods question - what does pose geometry add over scalar scores and flat descriptors? - measured on one target with one protocol.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label set is small (15 labeled compounds) and literature labels carry assay heterogeneity; every AUROC here inherits that width.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an honestly negative raw-docking screen (AUROC 0.339); a pose-graph rescoring benchmark that recovers ranking to 0.871 +/- 0.050 leave-one-out on the same labels; and MPRO-D1, a novel de novo candidate with a live-verified novelty record and a falsifiable prediction. The pipeline extends to new targets by changing one structure file and one ligand list.</w:t>
      </w:r>
    </w:p>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165 records across 12 source families.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TOTAL</w:t>
            </w:r>
          </w:p>
        </w:tc>
        <w:tc>
          <w:tcPr>
            <w:tcW w:type="dxa" w:w="3024"/>
          </w:tcPr>
          <w:p>
            <w:r>
              <w:rPr>
                <w:rFonts w:ascii="Times New Roman" w:hAnsi="Times New Roman"/>
                <w:sz w:val="19"/>
              </w:rPr>
              <w:t>165</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github.com/uditakankananonononono/mega27-12-3d-drug-discovery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pPr>
        <w:pStyle w:val="Heading1"/>
        <w:pBdr>
          <w:bottom w:val="single" w:sz="12" w:space="4" w:color="1F4E9C"/>
        </w:pBdr>
      </w:pPr>
      <w:r>
        <w:rPr>
          <w:rFonts w:ascii="Times New Roman" w:hAnsi="Times New Roman"/>
          <w:color w:val="1F4E9C"/>
        </w:rPr>
        <w:t>Appendix AD. Closing Statement</w:t>
      </w:r>
    </w:p>
    <w:p>
      <w:r>
        <w:rPr>
          <w:rFonts w:ascii="Times New Roman" w:hAnsi="Times New Roman"/>
          <w:b w:val="0"/>
          <w:i w:val="0"/>
        </w:rPr>
        <w:t>This paper reports a validated protocol, an honest negative, a benchmark recovery, and a novel candidate - in that order, because that is the order in which each result licenses the next.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