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3.1e),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3.1b Protocol transfer: a second structure and chemotype</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pPr>
        <w:pStyle w:val="Heading2"/>
      </w:pPr>
      <w:r>
        <w:rPr>
          <w:rFonts w:ascii="Times New Roman" w:hAnsi="Times New Roman"/>
          <w:color w:val="1F4E9C"/>
        </w:rPr>
        <w:t>3.1c Rank transfer across receptor structures (preregistered)</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pPr>
        <w:pStyle w:val="Heading2"/>
      </w:pPr>
      <w:r>
        <w:rPr>
          <w:rFonts w:ascii="Times New Roman" w:hAnsi="Times New Roman"/>
          <w:color w:val="1F4E9C"/>
        </w:rPr>
        <w:t>3.1d Hydration audit: conserved waters and a gated feature test (preregistered)</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2"/>
      </w:pPr>
      <w:r>
        <w:rPr>
          <w:rFonts w:ascii="Times New Roman" w:hAnsi="Times New Roman"/>
          <w:color w:val="1F4E9C"/>
        </w:rPr>
        <w:t>3.1e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0.871 +/- 0.050 leave-one-out on the same labels, with the n = 59 bigscreen as the primary learned-rescoring verdict; and MPRO-D1, a novel de novo candidate with a live-verified novelty record and a falsifiable prediction. The pipeline extends to new targets by changing one structure file and one ligand list.</w:t>
      </w:r>
    </w:p>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pPr>
        <w:pStyle w:val="Heading1"/>
        <w:pBdr>
          <w:bottom w:val="single" w:sz="12" w:space="4" w:color="1F4E9C"/>
        </w:pBdr>
      </w:pPr>
      <w:r>
        <w:rPr>
          <w:rFonts w:ascii="Times New Roman" w:hAnsi="Times New Roman"/>
          <w:color w:val="1F4E9C"/>
        </w:rPr>
        <w:t>Appendix AD.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