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and the limitations - rigid receptor, no covalency, n = 15 labeled compounds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recovery curve (0.34 -&gt; 0.68 -&gt; 0.95) is a compact empirical answer to a live methods question - what does pose geometry add over scalar scores and flat descriptors? - measured on one target with one protocol.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label set is small (15 labeled compounds) and literature labels carry assay heterogeneity; every AUROC here inherits that width.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github.com/uditakankananonononono/mega27-12-3d-drug-discovery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