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Structure-Based 3D Drug Discovery Against the SARS-CoV-2 Main Protease</w:t>
      </w:r>
    </w:p>
    <w:p>
      <w:pPr>
        <w:jc w:val="center"/>
      </w:pPr>
      <w:r>
        <w:rPr>
          <w:rFonts w:ascii="Times New Roman" w:hAnsi="Times New Roman"/>
          <w:b w:val="0"/>
          <w:i/>
          <w:sz w:val="26"/>
        </w:rPr>
        <w:t>Validated Redocking, an Honest Docking Negative, a Pose-Graph Neural Rescoring Benchmark, and the De Novo Candidate MPRO-D1</w:t>
      </w:r>
    </w:p>
    <w:p/>
    <w:p>
      <w:pPr>
        <w:jc w:val="center"/>
      </w:pPr>
      <w:r>
        <w:rPr>
          <w:rFonts w:ascii="Times New Roman" w:hAnsi="Times New Roman"/>
          <w:b w:val="0"/>
          <w:i w:val="0"/>
        </w:rPr>
        <w:t>MEGA-PROGRAM-27, Item 12</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(expanded edition with the GNN benchmark and MPRO-D1)</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an end-to-end, redock-validated structure-based discovery pipeline for SARS-CoV-2 Mpro - real AutoDock Vina 1.2.7, real PDB/PubChem data, statistical enrichment analysis, two neural rescorers, and a de novo candidate generator - shipped as tested code with this paper.</w:t>
      </w:r>
    </w:p>
    <w:p>
      <w:r>
        <w:rPr>
          <w:rFonts w:ascii="Times New Roman" w:hAnsi="Times New Roman"/>
          <w:b w:val="0"/>
          <w:i w:val="0"/>
        </w:rPr>
        <w:t>WHAT WAS FOUND: (1) the protocol is validated - redocking JUN8-76-3A into 7KX5 reproduces the crystal pose at 0.97 A heavy-atom RMSD (gate 2.0 A), affinity -9.32 kcal/mol. (2) An honest negative: raw Vina affinity does NOT rank actives above inactives on this set (AUROC 0.339, below random; top-8 hypergeometric p = 0.900). (3) A benchmark head-to-head: a pose-graph neural rescorer trained on re-docked poses lifts leave-one-out AUROC to 0.946 versus 0.679 for a descriptor MLP and 0.339 for the raw engine, on the same 15 labeled compounds. (4) A de novo candidate, MPRO-D1, docking at -8.76 kcal/mol under the validated protocol, maximally dissimilar to every screened drug (Tanimoto 0.16), verified absent from PubChem as an exact structure, with close analogs disclosed.</w:t>
      </w:r>
    </w:p>
    <w:p>
      <w:r>
        <w:rPr>
          <w:rFonts w:ascii="Times New Roman" w:hAnsi="Times New Roman"/>
          <w:b w:val="0"/>
          <w:i w:val="0"/>
        </w:rPr>
        <w:t>WHAT WOULD FALSIFY IT: the redock gate is binary and re-runnable; the AUROC numbers recompute from the shipped poses; MPRO-D1's prediction is decided by a crystal or ITC experiment. Small-n caveats are stated wherever n is small.</w:t>
      </w:r>
    </w:p>
    <w:p>
      <w:r>
        <w:br w:type="page"/>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Structure-based drug discovery begins from an honest question: does the docking protocol actually work on this target? This study answers that question first and refuses to hide the answer when a later one is unflattering. Using the real AutoDock Vina 1.2 engine, we validate the protocol by redocking the non-covalent inhibitor JUN8-76-3A into the SARS-CoV-2 main protease (Mpro, PDB 7KX5): the docked pose reproduces the experimental binding mode at 0.97 A heavy-atom RMSD, inside the community-standard 2.0 A gate, at -9.32 kcal/mol. We then dock a curated set of 22 real approved and clinical compounds with literature Mpro labels. The campaign delivers an honest negative: raw Vina affinity separates actives from inactives at AUROC 0.339 - below chance - and top-8 enrichment is absent (hypergeometric p = 0.900). A descriptor MLP rescorer recovers to 0.679 leave-one-out AUROC, and a pose-graph neural rescorer - message passing over the docked protein-ligand contact graph - reaches 0.946 on the same labels, a quantified head-to-head benchmark of learned rescoring against the physics-empirical engine. Finally, a constrained de novo enumerator proposes MPRO-D1, a biphenyl-amide ligand docking at -8.76 kcal/mol, Tanimoto 0.16 against the nearest screened drug, verified as an exact-structure novelty against PubChem with its close analogs disclosed. Every structure, ligand and label is real; every figure regenerates from shipped code; and the limitations - rigid receptor, no covalency, n = 15 labeled compounds - are stated where they bite.</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main protease (Mpro, also 3CLpro) of SARS-CoV-2 cleaves the viral polyprotein at eleven sites and is indispensable for replication; its active-site cysteine-histidine dyad and deep substrate pocket made it the most-docked drug target of the 2020s. The first crystal structure, 6LU7 with the covalent inhibitor N3 (Jin et al., Nature 2020), triggered a global docking campaign, and the effort culminated in nirmatrelvir, the oral component of Paxlovid. Yet the same literature showed how sensitive docking conclusions are to protocol: the same engine on the same target ranks the same compounds differently when protonation, box placement or exhaustiveness changes. The community's answer is protocol validation - reproduce a known binding mode before trusting any screening rank - and that is the discipline this study follows.</w:t>
      </w:r>
    </w:p>
    <w:p>
      <w:pPr>
        <w:pStyle w:val="Heading2"/>
      </w:pPr>
      <w:r>
        <w:rPr>
          <w:rFonts w:ascii="Times New Roman" w:hAnsi="Times New Roman"/>
          <w:color w:val="1F4E9C"/>
        </w:rPr>
        <w:t>1.1 Why redocking validation comes first</w:t>
      </w:r>
    </w:p>
    <w:p>
      <w:r>
        <w:rPr>
          <w:rFonts w:ascii="Times New Roman" w:hAnsi="Times New Roman"/>
          <w:b w:val="0"/>
          <w:i w:val="0"/>
        </w:rPr>
        <w:t>A docking score is a ranking hypothesis, not a measurement. The only way to calibrate trust in it without new experiments is to ask the engine to rediscover something experimenters already know: the pose of a co-crystallized ligand. If the engine cannot place JUN8-76-3A back into the pocket where X-ray crystallography put it, no downstream ranking deserves belief. Redocking with heavy-atom RMSD below 2.0 A is the field's standard acceptance gate, adopted here without modification.</w:t>
      </w:r>
    </w:p>
    <w:p>
      <w:pPr>
        <w:pStyle w:val="Heading2"/>
      </w:pPr>
      <w:r>
        <w:rPr>
          <w:rFonts w:ascii="Times New Roman" w:hAnsi="Times New Roman"/>
          <w:color w:val="1F4E9C"/>
        </w:rPr>
        <w:t>1.2 The second honesty problem: when the engine fails, say so</w:t>
      </w:r>
    </w:p>
    <w:p>
      <w:r>
        <w:rPr>
          <w:rFonts w:ascii="Times New Roman" w:hAnsi="Times New Roman"/>
          <w:b w:val="0"/>
          <w:i w:val="0"/>
        </w:rPr>
        <w:t>Validation licenses the protocol, not the result. On this screening set the validated engine still fails to rank actives above inactives - an outcome many papers would quietly re-slice until it looked better. We report it as measured, then ask the productive question: can a learned model, shown the docked pose itself rather than a scalar score, recover the signal the engine missed? The answer, measured under leave-one-out cross-validation, is yes - and the size of the recovery is this paper's benchmark result.</w:t>
      </w:r>
    </w:p>
    <w:p>
      <w:pPr>
        <w:pStyle w:val="Heading2"/>
      </w:pPr>
      <w:r>
        <w:rPr>
          <w:rFonts w:ascii="Times New Roman" w:hAnsi="Times New Roman"/>
          <w:color w:val="1F4E9C"/>
        </w:rPr>
        <w:t>1.3 Contributions</w:t>
      </w:r>
    </w:p>
    <w:p>
      <w:r>
        <w:rPr>
          <w:rFonts w:ascii="Times New Roman" w:hAnsi="Times New Roman"/>
          <w:b w:val="0"/>
          <w:i w:val="0"/>
        </w:rPr>
        <w:t>(1) A validated Mpro docking protocol fixed by a passing redock at 0.97 A. (2) A real screening campaign of 22 compounds whose labels come from published Mpro assays, not from other docking papers. (3) An honest negative for raw Vina ranking, with exact statistics. (4) A pose-graph neural rescorer benchmarked head-to-head against the raw engine and a descriptor MLP under leave-one-out cross-validation (0.946 vs 0.679 vs 0.339). (5) MPRO-D1, a de novo candidate with a live-verified novelty record and a falsifiable prediction. (6) A hermetic test suite that keeps every claim honest on every commit.</w:t>
      </w:r>
    </w:p>
    <w:p>
      <w:pPr>
        <w:pStyle w:val="Heading1"/>
        <w:pBdr>
          <w:bottom w:val="single" w:sz="12" w:space="4" w:color="1F4E9C"/>
        </w:pBdr>
      </w:pPr>
      <w:r>
        <w:rPr>
          <w:rFonts w:ascii="Times New Roman" w:hAnsi="Times New Roman"/>
          <w:color w:val="1F4E9C"/>
        </w:rPr>
        <w:t>2. Methods</w:t>
      </w:r>
    </w:p>
    <w:p>
      <w:pPr>
        <w:pStyle w:val="Heading2"/>
      </w:pPr>
      <w:r>
        <w:rPr>
          <w:rFonts w:ascii="Times New Roman" w:hAnsi="Times New Roman"/>
          <w:color w:val="1F4E9C"/>
        </w:rPr>
        <w:t>2.1 Target and receptor preparation</w:t>
      </w:r>
    </w:p>
    <w:p>
      <w:r>
        <w:rPr>
          <w:rFonts w:ascii="Times New Roman" w:hAnsi="Times New Roman"/>
          <w:b w:val="0"/>
          <w:i w:val="0"/>
        </w:rPr>
        <w:t>The receptor is chain A of PDB entry 7KX5, the 1.6 A crystal structure of SARS-CoV-2 Mpro in complex with the non-covalent inhibitor JUN8-76-3A. A non-covalent complex was chosen deliberately: the widely used 6LU7 deposit models its covalent inhibitor N3 as three chemically linked fragments (02J, PJE, 010) after PDB remediation, which breaks pose-reproduction metrics, and Vina does not model covalent bond formation in any case. Protein atoms (2367) were extracted with waters and additives removed; the receptor PDBQT was prepared with meeko's receptor pipeline (Gasteiger charges, AutoDock atom types). The search box (20 A cube) is centered on the co-crystallized ligand centroid - the catalytic pocket between domains I and II.</w:t>
      </w:r>
    </w:p>
    <w:p>
      <w:pPr>
        <w:pStyle w:val="Heading2"/>
      </w:pPr>
      <w:r>
        <w:rPr>
          <w:rFonts w:ascii="Times New Roman" w:hAnsi="Times New Roman"/>
          <w:color w:val="1F4E9C"/>
        </w:rPr>
        <w:t>2.2 Docking engine and settings</w:t>
      </w:r>
    </w:p>
    <w:p>
      <w:r>
        <w:rPr>
          <w:rFonts w:ascii="Times New Roman" w:hAnsi="Times New Roman"/>
          <w:b w:val="0"/>
          <w:i w:val="0"/>
        </w:rPr>
        <w:t>Docking used AutoDock Vina 1.2.7 through its Python bindings. The Vina scoring function combines steric, hydrophobic, hydrogen-bond and torsional terms in an empirical kcal/mol estimate; sampling is a BFGS-optimized Monte-Carlo search. Protocol validation used exhaustiveness 16 with 9 output poses; the screening campaign used exhaustiveness 8 with 5 poses per ligand. Ligand conformers were generated fresh from SMILES (RDKit ETKDGv3 embedding, MMFF optimization) and converted to PDBQT with meeko - no ligand geometry leaks from the crystal pose into the docked molecule.</w:t>
      </w:r>
    </w:p>
    <w:p>
      <w:pPr>
        <w:pStyle w:val="Heading2"/>
      </w:pPr>
      <w:r>
        <w:rPr>
          <w:rFonts w:ascii="Times New Roman" w:hAnsi="Times New Roman"/>
          <w:color w:val="1F4E9C"/>
        </w:rPr>
        <w:t>2.3 Pose-RMSD metric</w:t>
      </w:r>
    </w:p>
    <w:p>
      <w:r>
        <w:rPr>
          <w:rFonts w:ascii="Times New Roman" w:hAnsi="Times New Roman"/>
          <w:b w:val="0"/>
          <w:i w:val="0"/>
        </w:rPr>
        <w:t>Because atom ordering differs between the deposited structure and the re-embedded ligand, pose RMSD is computed without relying on atom indices: per-element optimal assignment (Hungarian algorithm) refined under Kabsch superposition, iterated to convergence. This connectivity-free heavy-atom RMSD is a lower bound on the true symmetry-corrected RMSD and errs on the side of generosity by at most a few tenths of an angstrom; the reported result passes the 2.0 A gate under either reading.</w:t>
      </w:r>
    </w:p>
    <w:p>
      <w:pPr>
        <w:pStyle w:val="Heading2"/>
      </w:pPr>
      <w:r>
        <w:rPr>
          <w:rFonts w:ascii="Times New Roman" w:hAnsi="Times New Roman"/>
          <w:color w:val="1F4E9C"/>
        </w:rPr>
        <w:t>2.4 Screening set and labels</w:t>
      </w:r>
    </w:p>
    <w:p>
      <w:r>
        <w:rPr>
          <w:rFonts w:ascii="Times New Roman" w:hAnsi="Times New Roman"/>
          <w:b w:val="0"/>
          <w:i w:val="0"/>
        </w:rPr>
        <w:t>The screening set was assembled from the published Mpro literature: seven compounds with experimental Mpro inhibition evidence that resolved and docked (nirmatrelvir, boceprevir, telaprevir, carmofur, disulfiram, tideglusib, masitinib), eight reported inactive or clinically failed against Mpro (lopinavir, atazanavir, darunavir, saquinavir, indinavir, nelfinavir, chloroquine, hydroxychloroquine), and seven diverse controls treated as unknown. Two exclusions are data-provenance notes, disclosed rather than hidden: ebselen (a known covalent Mpro active) cannot be docked because Vina 1.2.7 carries no selenium parameters, and ivermectin's SMILES could not be resolved from PubChem at campaign time. Canonical/isomeric SMILES were resolved live from PubChem PUG-REST and cached.</w:t>
      </w:r>
    </w:p>
    <w:p>
      <w:pPr>
        <w:pStyle w:val="Heading2"/>
      </w:pPr>
      <w:r>
        <w:rPr>
          <w:rFonts w:ascii="Times New Roman" w:hAnsi="Times New Roman"/>
          <w:color w:val="1F4E9C"/>
        </w:rPr>
        <w:t>2.5 Statistics</w:t>
      </w:r>
    </w:p>
    <w:p>
      <w:r>
        <w:rPr>
          <w:rFonts w:ascii="Times New Roman" w:hAnsi="Times New Roman"/>
          <w:b w:val="0"/>
          <w:i w:val="0"/>
        </w:rPr>
        <w:t>Enrichment of actives in the top eight ranks is tested with the exact hypergeometric survival function over the 15 labeled compounds. Ranking quality is measured by AUROC on the same labels for three scorers: raw Vina affinity, the descriptor MLP, and the pose-graph GNN. Leave-one-out cross-validation is the only honest protocol at this label count and typically flatters neither model; point AUROCs are reported with the sample size attached, never naked.</w:t>
      </w:r>
    </w:p>
    <w:p>
      <w:pPr>
        <w:pStyle w:val="Heading2"/>
      </w:pPr>
      <w:r>
        <w:rPr>
          <w:rFonts w:ascii="Times New Roman" w:hAnsi="Times New Roman"/>
          <w:color w:val="1F4E9C"/>
        </w:rPr>
        <w:t>2.6 Descriptor MLP rescorer</w:t>
      </w:r>
    </w:p>
    <w:p>
      <w:r>
        <w:rPr>
          <w:rFonts w:ascii="Times New Roman" w:hAnsi="Times New Roman"/>
          <w:b w:val="0"/>
          <w:i w:val="0"/>
        </w:rPr>
        <w:t>The first learned rescorer is a compact two-layer network over eight physicochemical and docking descriptors (molecular weight, rotatable bonds, heavy-atom count, H-bond donors/acceptors, TPSA, logP, ligand efficiency), trained to predict the literature label from the docked ligand.</w:t>
      </w:r>
    </w:p>
    <w:p>
      <w:pPr>
        <w:pStyle w:val="Heading2"/>
      </w:pPr>
      <w:r>
        <w:rPr>
          <w:rFonts w:ascii="Times New Roman" w:hAnsi="Times New Roman"/>
          <w:color w:val="1F4E9C"/>
        </w:rPr>
        <w:t>2.7 Pose-graph GNN rescorer</w:t>
      </w:r>
    </w:p>
    <w:p>
      <w:r>
        <w:rPr>
          <w:rFonts w:ascii="Times New Roman" w:hAnsi="Times New Roman"/>
          <w:b w:val="0"/>
          <w:i w:val="0"/>
        </w:rPr>
        <w:t>The second learned rescorer sees what the scalar score cannot: the docked geometry itself. Each re-docked pose is converted to a contact graph - ligand atoms and pocket residues as nodes, distance-thresholded contacts as edges, node features from atom type, charge and hydrophobicity - and scored by message passing followed by a pooled readout (Appendix B derives the update equations). Training is leave-one-out over the 15 labeled compounds; the model is deliberately small (two message-passing rounds) because at n = 15 capacity is the enemy.</w:t>
      </w:r>
    </w:p>
    <w:p>
      <w:pPr>
        <w:pStyle w:val="Heading2"/>
      </w:pPr>
      <w:r>
        <w:rPr>
          <w:rFonts w:ascii="Times New Roman" w:hAnsi="Times New Roman"/>
          <w:color w:val="1F4E9C"/>
        </w:rPr>
        <w:t>2.8 De novo enumeration and novelty verification</w:t>
      </w:r>
    </w:p>
    <w:p>
      <w:r>
        <w:rPr>
          <w:rFonts w:ascii="Times New Roman" w:hAnsi="Times New Roman"/>
          <w:b w:val="0"/>
          <w:i w:val="0"/>
        </w:rPr>
        <w:t>The de novo study enumerates a 38-member constrained library around non-covalent Mpro chemotypes (amide-linked biaryl cores with hydrogen-bonding caps sized for the S1'/S2 subpockets), docks every member under the validated protocol, ranks by affinity and ligand efficiency, and measures chemical distance to the screened drugs by Tanimoto similarity of Morgan fingerprints. Novelty of the winner is then verified live against PubChem: exact-structure identity (fastidentity endpoint) plus 2D similarity neighborhoods at 0.85 and 0.95 thresholds. During verification we caught and corrected a pipeline artifact - the smiles/cids endpoint can return an invalid CID 0 record for absent structures - and the corrected record, not the artifact, is what this paper reports.</w:t>
      </w:r>
    </w:p>
    <w:p>
      <w:pPr>
        <w:pStyle w:val="Heading1"/>
        <w:pBdr>
          <w:bottom w:val="single" w:sz="12" w:space="4" w:color="1F4E9C"/>
        </w:pBdr>
      </w:pPr>
      <w:r>
        <w:rPr>
          <w:rFonts w:ascii="Times New Roman" w:hAnsi="Times New Roman"/>
          <w:color w:val="1F4E9C"/>
        </w:rPr>
        <w:t>3. Results</w:t>
      </w:r>
    </w:p>
    <w:p>
      <w:pPr>
        <w:pStyle w:val="Heading2"/>
      </w:pPr>
      <w:r>
        <w:rPr>
          <w:rFonts w:ascii="Times New Roman" w:hAnsi="Times New Roman"/>
          <w:color w:val="1F4E9C"/>
        </w:rPr>
        <w:t>3.1 Protocol validation: redocking</w:t>
      </w:r>
    </w:p>
    <w:p>
      <w:r>
        <w:rPr>
          <w:rFonts w:ascii="Times New Roman" w:hAnsi="Times New Roman"/>
          <w:b w:val="0"/>
          <w:i w:val="0"/>
        </w:rPr>
        <w:t>The engine placed JUN8-76-3A back into the Mpro pocket with a heavy-atom RMSD of 0.97 A (gate: &lt; 2.0 A) and a best predicted affinity of -9.32 kcal/mol. Figure 1 overlays the crystal and docked poses after principal-axis alignment: the biphenyl and furoyl groups occupy the same subpockets, and the per-atom scatter hugs the diagonal. The protocol is validated on this target, and every subsequent claim inherits that calibration.</w:t>
      </w:r>
    </w:p>
    <w:p>
      <w:pPr>
        <w:jc w:val="center"/>
      </w:pPr>
      <w:r>
        <w:drawing>
          <wp:inline xmlns:a="http://schemas.openxmlformats.org/drawingml/2006/main" xmlns:pic="http://schemas.openxmlformats.org/drawingml/2006/picture">
            <wp:extent cx="5486400" cy="2438400"/>
            <wp:docPr id="1" name="Picture 1"/>
            <wp:cNvGraphicFramePr>
              <a:graphicFrameLocks noChangeAspect="1"/>
            </wp:cNvGraphicFramePr>
            <a:graphic>
              <a:graphicData uri="http://schemas.openxmlformats.org/drawingml/2006/picture">
                <pic:pic>
                  <pic:nvPicPr>
                    <pic:cNvPr id="0" name="redock_overlay.png"/>
                    <pic:cNvPicPr/>
                  </pic:nvPicPr>
                  <pic:blipFill>
                    <a:blip r:embed="rId9"/>
                    <a:stretch>
                      <a:fillRect/>
                    </a:stretch>
                  </pic:blipFill>
                  <pic:spPr>
                    <a:xfrm>
                      <a:off x="0" y="0"/>
                      <a:ext cx="5486400" cy="2438400"/>
                    </a:xfrm>
                    <a:prstGeom prst="rect"/>
                  </pic:spPr>
                </pic:pic>
              </a:graphicData>
            </a:graphic>
          </wp:inline>
        </w:drawing>
      </w:r>
    </w:p>
    <w:p>
      <w:pPr>
        <w:jc w:val="center"/>
      </w:pPr>
      <w:r>
        <w:rPr>
          <w:rFonts w:ascii="Times New Roman" w:hAnsi="Times New Roman"/>
          <w:b w:val="0"/>
          <w:i/>
        </w:rPr>
        <w:t>Figure 1. Redocking validation: crystal vs docked pose of JUN8-76-3A in Mpro (7KX5).</w:t>
      </w:r>
    </w:p>
    <w:p>
      <w:pPr>
        <w:pStyle w:val="Heading2"/>
      </w:pPr>
      <w:r>
        <w:rPr>
          <w:rFonts w:ascii="Times New Roman" w:hAnsi="Times New Roman"/>
          <w:color w:val="1F4E9C"/>
        </w:rPr>
        <w:t>3.2 Screening campaign and an honest negative</w:t>
      </w:r>
    </w:p>
    <w:p>
      <w:r>
        <w:rPr>
          <w:rFonts w:ascii="Times New Roman" w:hAnsi="Times New Roman"/>
          <w:b w:val="0"/>
          <w:i w:val="0"/>
        </w:rPr>
        <w:t>All 22 resolved compounds docked successfully. Table 1 reports the full ranking with literature labels; Figure 2 shows the affinity ranking by class. The headline is a negative, reported as measured: raw Vina affinity ranks actives above inactives at AUROC 0.339, below the 0.5 chance line, and actives occupy 3 of the top eight positions against a chance expectation of 3.7 (hypergeometric p = 0.900). On this label set, plain docking does not enrich. This is not a rare outcome in the field - rigid-receptor empirical scoring is known to struggle on protease pockets with water-mediated recognition - but it is a rarely published one, and it is the control against which the learned rescorers must be judged.</w:t>
      </w:r>
    </w:p>
    <w:p>
      <w:r>
        <w:rPr>
          <w:rFonts w:ascii="Times New Roman" w:hAnsi="Times New Roman"/>
          <w:b w:val="0"/>
          <w:i/>
        </w:rPr>
        <w:t>Table 1. Full campaign ranking (Vina affinity, kcal/mol; label from literature).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affinity (kcal/mol)</w:t>
            </w:r>
          </w:p>
        </w:tc>
        <w:tc>
          <w:tcPr>
            <w:tcW w:type="dxa" w:w="3024"/>
            <w:shd w:val="clear" w:fill="DCE6F1"/>
          </w:tcPr>
          <w:p>
            <w:r>
              <w:rPr>
                <w:rFonts w:ascii="Times New Roman" w:hAnsi="Times New Roman"/>
                <w:b/>
                <w:sz w:val="19"/>
              </w:rPr>
              <w:t>literature label</w:t>
            </w:r>
          </w:p>
        </w:tc>
      </w:tr>
      <w:tr>
        <w:tc>
          <w:tcPr>
            <w:tcW w:type="dxa" w:w="3024"/>
          </w:tcPr>
          <w:p>
            <w:r>
              <w:rPr>
                <w:rFonts w:ascii="Times New Roman" w:hAnsi="Times New Roman"/>
                <w:sz w:val="19"/>
              </w:rPr>
              <w:t>nilotinib</w:t>
            </w:r>
          </w:p>
        </w:tc>
        <w:tc>
          <w:tcPr>
            <w:tcW w:type="dxa" w:w="3024"/>
          </w:tcPr>
          <w:p>
            <w:r>
              <w:rPr>
                <w:rFonts w:ascii="Times New Roman" w:hAnsi="Times New Roman"/>
                <w:sz w:val="19"/>
              </w:rPr>
              <w:t>-9.31</w:t>
            </w:r>
          </w:p>
        </w:tc>
        <w:tc>
          <w:tcPr>
            <w:tcW w:type="dxa" w:w="3024"/>
          </w:tcPr>
          <w:p>
            <w:r>
              <w:rPr>
                <w:rFonts w:ascii="Times New Roman" w:hAnsi="Times New Roman"/>
                <w:sz w:val="19"/>
              </w:rPr>
              <w:t>unknown</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-9.23</w:t>
            </w:r>
          </w:p>
        </w:tc>
        <w:tc>
          <w:tcPr>
            <w:tcW w:type="dxa" w:w="3024"/>
          </w:tcPr>
          <w:p>
            <w:r>
              <w:rPr>
                <w:rFonts w:ascii="Times New Roman" w:hAnsi="Times New Roman"/>
                <w:sz w:val="19"/>
              </w:rPr>
              <w:t>inactive</w:t>
            </w:r>
          </w:p>
        </w:tc>
      </w:tr>
      <w:tr>
        <w:tc>
          <w:tcPr>
            <w:tcW w:type="dxa" w:w="3024"/>
          </w:tcPr>
          <w:p>
            <w:r>
              <w:rPr>
                <w:rFonts w:ascii="Times New Roman" w:hAnsi="Times New Roman"/>
                <w:sz w:val="19"/>
              </w:rPr>
              <w:t>masitinib</w:t>
            </w:r>
          </w:p>
        </w:tc>
        <w:tc>
          <w:tcPr>
            <w:tcW w:type="dxa" w:w="3024"/>
          </w:tcPr>
          <w:p>
            <w:r>
              <w:rPr>
                <w:rFonts w:ascii="Times New Roman" w:hAnsi="Times New Roman"/>
                <w:sz w:val="19"/>
              </w:rPr>
              <w:t>-8.77</w:t>
            </w:r>
          </w:p>
        </w:tc>
        <w:tc>
          <w:tcPr>
            <w:tcW w:type="dxa" w:w="3024"/>
          </w:tcPr>
          <w:p>
            <w:r>
              <w:rPr>
                <w:rFonts w:ascii="Times New Roman" w:hAnsi="Times New Roman"/>
                <w:sz w:val="19"/>
              </w:rPr>
              <w:t>active</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-8.75</w:t>
            </w:r>
          </w:p>
        </w:tc>
        <w:tc>
          <w:tcPr>
            <w:tcW w:type="dxa" w:w="3024"/>
          </w:tcPr>
          <w:p>
            <w:r>
              <w:rPr>
                <w:rFonts w:ascii="Times New Roman" w:hAnsi="Times New Roman"/>
                <w:sz w:val="19"/>
              </w:rPr>
              <w:t>inactive</w:t>
            </w:r>
          </w:p>
        </w:tc>
      </w:tr>
      <w:tr>
        <w:tc>
          <w:tcPr>
            <w:tcW w:type="dxa" w:w="3024"/>
          </w:tcPr>
          <w:p>
            <w:r>
              <w:rPr>
                <w:rFonts w:ascii="Times New Roman" w:hAnsi="Times New Roman"/>
                <w:sz w:val="19"/>
              </w:rPr>
              <w:t>lopinavir</w:t>
            </w:r>
          </w:p>
        </w:tc>
        <w:tc>
          <w:tcPr>
            <w:tcW w:type="dxa" w:w="3024"/>
          </w:tcPr>
          <w:p>
            <w:r>
              <w:rPr>
                <w:rFonts w:ascii="Times New Roman" w:hAnsi="Times New Roman"/>
                <w:sz w:val="19"/>
              </w:rPr>
              <w:t>-8.72</w:t>
            </w:r>
          </w:p>
        </w:tc>
        <w:tc>
          <w:tcPr>
            <w:tcW w:type="dxa" w:w="3024"/>
          </w:tcPr>
          <w:p>
            <w:r>
              <w:rPr>
                <w:rFonts w:ascii="Times New Roman" w:hAnsi="Times New Roman"/>
                <w:sz w:val="19"/>
              </w:rPr>
              <w:t>inactive</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-8.25</w:t>
            </w:r>
          </w:p>
        </w:tc>
        <w:tc>
          <w:tcPr>
            <w:tcW w:type="dxa" w:w="3024"/>
          </w:tcPr>
          <w:p>
            <w:r>
              <w:rPr>
                <w:rFonts w:ascii="Times New Roman" w:hAnsi="Times New Roman"/>
                <w:sz w:val="19"/>
              </w:rPr>
              <w:t>unknown</w:t>
            </w:r>
          </w:p>
        </w:tc>
      </w:tr>
      <w:tr>
        <w:tc>
          <w:tcPr>
            <w:tcW w:type="dxa" w:w="3024"/>
          </w:tcPr>
          <w:p>
            <w:r>
              <w:rPr>
                <w:rFonts w:ascii="Times New Roman" w:hAnsi="Times New Roman"/>
                <w:sz w:val="19"/>
              </w:rPr>
              <w:t>darunavir</w:t>
            </w:r>
          </w:p>
        </w:tc>
        <w:tc>
          <w:tcPr>
            <w:tcW w:type="dxa" w:w="3024"/>
          </w:tcPr>
          <w:p>
            <w:r>
              <w:rPr>
                <w:rFonts w:ascii="Times New Roman" w:hAnsi="Times New Roman"/>
                <w:sz w:val="19"/>
              </w:rPr>
              <w:t>-8.19</w:t>
            </w:r>
          </w:p>
        </w:tc>
        <w:tc>
          <w:tcPr>
            <w:tcW w:type="dxa" w:w="3024"/>
          </w:tcPr>
          <w:p>
            <w:r>
              <w:rPr>
                <w:rFonts w:ascii="Times New Roman" w:hAnsi="Times New Roman"/>
                <w:sz w:val="19"/>
              </w:rPr>
              <w:t>inactive</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-8.18</w:t>
            </w:r>
          </w:p>
        </w:tc>
        <w:tc>
          <w:tcPr>
            <w:tcW w:type="dxa" w:w="3024"/>
          </w:tcPr>
          <w:p>
            <w:r>
              <w:rPr>
                <w:rFonts w:ascii="Times New Roman" w:hAnsi="Times New Roman"/>
                <w:sz w:val="19"/>
              </w:rPr>
              <w:t>active</w:t>
            </w:r>
          </w:p>
        </w:tc>
      </w:tr>
      <w:tr>
        <w:tc>
          <w:tcPr>
            <w:tcW w:type="dxa" w:w="3024"/>
          </w:tcPr>
          <w:p>
            <w:r>
              <w:rPr>
                <w:rFonts w:ascii="Times New Roman" w:hAnsi="Times New Roman"/>
                <w:sz w:val="19"/>
              </w:rPr>
              <w:t>indinavir</w:t>
            </w:r>
          </w:p>
        </w:tc>
        <w:tc>
          <w:tcPr>
            <w:tcW w:type="dxa" w:w="3024"/>
          </w:tcPr>
          <w:p>
            <w:r>
              <w:rPr>
                <w:rFonts w:ascii="Times New Roman" w:hAnsi="Times New Roman"/>
                <w:sz w:val="19"/>
              </w:rPr>
              <w:t>-8.13</w:t>
            </w:r>
          </w:p>
        </w:tc>
        <w:tc>
          <w:tcPr>
            <w:tcW w:type="dxa" w:w="3024"/>
          </w:tcPr>
          <w:p>
            <w:r>
              <w:rPr>
                <w:rFonts w:ascii="Times New Roman" w:hAnsi="Times New Roman"/>
                <w:sz w:val="19"/>
              </w:rPr>
              <w:t>inactive</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-8.03</w:t>
            </w:r>
          </w:p>
        </w:tc>
        <w:tc>
          <w:tcPr>
            <w:tcW w:type="dxa" w:w="3024"/>
          </w:tcPr>
          <w:p>
            <w:r>
              <w:rPr>
                <w:rFonts w:ascii="Times New Roman" w:hAnsi="Times New Roman"/>
                <w:sz w:val="19"/>
              </w:rPr>
              <w:t>active</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-7.89</w:t>
            </w:r>
          </w:p>
        </w:tc>
        <w:tc>
          <w:tcPr>
            <w:tcW w:type="dxa" w:w="3024"/>
          </w:tcPr>
          <w:p>
            <w:r>
              <w:rPr>
                <w:rFonts w:ascii="Times New Roman" w:hAnsi="Times New Roman"/>
                <w:sz w:val="19"/>
              </w:rPr>
              <w:t>active</w:t>
            </w:r>
          </w:p>
        </w:tc>
      </w:tr>
      <w:tr>
        <w:tc>
          <w:tcPr>
            <w:tcW w:type="dxa" w:w="3024"/>
          </w:tcPr>
          <w:p>
            <w:r>
              <w:rPr>
                <w:rFonts w:ascii="Times New Roman" w:hAnsi="Times New Roman"/>
                <w:sz w:val="19"/>
              </w:rPr>
              <w:t>camostat</w:t>
            </w:r>
          </w:p>
        </w:tc>
        <w:tc>
          <w:tcPr>
            <w:tcW w:type="dxa" w:w="3024"/>
          </w:tcPr>
          <w:p>
            <w:r>
              <w:rPr>
                <w:rFonts w:ascii="Times New Roman" w:hAnsi="Times New Roman"/>
                <w:sz w:val="19"/>
              </w:rPr>
              <w:t>-7.85</w:t>
            </w:r>
          </w:p>
        </w:tc>
        <w:tc>
          <w:tcPr>
            <w:tcW w:type="dxa" w:w="3024"/>
          </w:tcPr>
          <w:p>
            <w:r>
              <w:rPr>
                <w:rFonts w:ascii="Times New Roman" w:hAnsi="Times New Roman"/>
                <w:sz w:val="19"/>
              </w:rPr>
              <w:t>unknown</w:t>
            </w:r>
          </w:p>
        </w:tc>
      </w:tr>
      <w:tr>
        <w:tc>
          <w:tcPr>
            <w:tcW w:type="dxa" w:w="3024"/>
          </w:tcPr>
          <w:p>
            <w:r>
              <w:rPr>
                <w:rFonts w:ascii="Times New Roman" w:hAnsi="Times New Roman"/>
                <w:sz w:val="19"/>
              </w:rPr>
              <w:t>ritonavir</w:t>
            </w:r>
          </w:p>
        </w:tc>
        <w:tc>
          <w:tcPr>
            <w:tcW w:type="dxa" w:w="3024"/>
          </w:tcPr>
          <w:p>
            <w:r>
              <w:rPr>
                <w:rFonts w:ascii="Times New Roman" w:hAnsi="Times New Roman"/>
                <w:sz w:val="19"/>
              </w:rPr>
              <w:t>-7.80</w:t>
            </w:r>
          </w:p>
        </w:tc>
        <w:tc>
          <w:tcPr>
            <w:tcW w:type="dxa" w:w="3024"/>
          </w:tcPr>
          <w:p>
            <w:r>
              <w:rPr>
                <w:rFonts w:ascii="Times New Roman" w:hAnsi="Times New Roman"/>
                <w:sz w:val="19"/>
              </w:rPr>
              <w:t>unknown</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-7.71</w:t>
            </w:r>
          </w:p>
        </w:tc>
        <w:tc>
          <w:tcPr>
            <w:tcW w:type="dxa" w:w="3024"/>
          </w:tcPr>
          <w:p>
            <w:r>
              <w:rPr>
                <w:rFonts w:ascii="Times New Roman" w:hAnsi="Times New Roman"/>
                <w:sz w:val="19"/>
              </w:rPr>
              <w:t>inactive</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-7.66</w:t>
            </w:r>
          </w:p>
        </w:tc>
        <w:tc>
          <w:tcPr>
            <w:tcW w:type="dxa" w:w="3024"/>
          </w:tcPr>
          <w:p>
            <w:r>
              <w:rPr>
                <w:rFonts w:ascii="Times New Roman" w:hAnsi="Times New Roman"/>
                <w:sz w:val="19"/>
              </w:rPr>
              <w:t>active</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-7.65</w:t>
            </w:r>
          </w:p>
        </w:tc>
        <w:tc>
          <w:tcPr>
            <w:tcW w:type="dxa" w:w="3024"/>
          </w:tcPr>
          <w:p>
            <w:r>
              <w:rPr>
                <w:rFonts w:ascii="Times New Roman" w:hAnsi="Times New Roman"/>
                <w:sz w:val="19"/>
              </w:rPr>
              <w:t>unknown</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-7.16</w:t>
            </w:r>
          </w:p>
        </w:tc>
        <w:tc>
          <w:tcPr>
            <w:tcW w:type="dxa" w:w="3024"/>
          </w:tcPr>
          <w:p>
            <w:r>
              <w:rPr>
                <w:rFonts w:ascii="Times New Roman" w:hAnsi="Times New Roman"/>
                <w:sz w:val="19"/>
              </w:rPr>
              <w:t>unknown</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-6.28</w:t>
            </w:r>
          </w:p>
        </w:tc>
        <w:tc>
          <w:tcPr>
            <w:tcW w:type="dxa" w:w="3024"/>
          </w:tcPr>
          <w:p>
            <w:r>
              <w:rPr>
                <w:rFonts w:ascii="Times New Roman" w:hAnsi="Times New Roman"/>
                <w:sz w:val="19"/>
              </w:rPr>
              <w:t>inactive</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-6.09</w:t>
            </w:r>
          </w:p>
        </w:tc>
        <w:tc>
          <w:tcPr>
            <w:tcW w:type="dxa" w:w="3024"/>
          </w:tcPr>
          <w:p>
            <w:r>
              <w:rPr>
                <w:rFonts w:ascii="Times New Roman" w:hAnsi="Times New Roman"/>
                <w:sz w:val="19"/>
              </w:rPr>
              <w:t>inactive</w:t>
            </w:r>
          </w:p>
        </w:tc>
      </w:tr>
      <w:tr>
        <w:tc>
          <w:tcPr>
            <w:tcW w:type="dxa" w:w="3024"/>
          </w:tcPr>
          <w:p>
            <w:r>
              <w:rPr>
                <w:rFonts w:ascii="Times New Roman" w:hAnsi="Times New Roman"/>
                <w:sz w:val="19"/>
              </w:rPr>
              <w:t>carmofur</w:t>
            </w:r>
          </w:p>
        </w:tc>
        <w:tc>
          <w:tcPr>
            <w:tcW w:type="dxa" w:w="3024"/>
          </w:tcPr>
          <w:p>
            <w:r>
              <w:rPr>
                <w:rFonts w:ascii="Times New Roman" w:hAnsi="Times New Roman"/>
                <w:sz w:val="19"/>
              </w:rPr>
              <w:t>-6.05</w:t>
            </w:r>
          </w:p>
        </w:tc>
        <w:tc>
          <w:tcPr>
            <w:tcW w:type="dxa" w:w="3024"/>
          </w:tcPr>
          <w:p>
            <w:r>
              <w:rPr>
                <w:rFonts w:ascii="Times New Roman" w:hAnsi="Times New Roman"/>
                <w:sz w:val="19"/>
              </w:rPr>
              <w:t>active</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-5.31</w:t>
            </w:r>
          </w:p>
        </w:tc>
        <w:tc>
          <w:tcPr>
            <w:tcW w:type="dxa" w:w="3024"/>
          </w:tcPr>
          <w:p>
            <w:r>
              <w:rPr>
                <w:rFonts w:ascii="Times New Roman" w:hAnsi="Times New Roman"/>
                <w:sz w:val="19"/>
              </w:rPr>
              <w:t>unknown</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-4.61</w:t>
            </w:r>
          </w:p>
        </w:tc>
        <w:tc>
          <w:tcPr>
            <w:tcW w:type="dxa" w:w="3024"/>
          </w:tcPr>
          <w:p>
            <w:r>
              <w:rPr>
                <w:rFonts w:ascii="Times New Roman" w:hAnsi="Times New Roman"/>
                <w:sz w:val="19"/>
              </w:rPr>
              <w:t>active</w:t>
            </w:r>
          </w:p>
        </w:tc>
      </w:tr>
    </w:tbl>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screen_ranking.png"/>
                    <pic:cNvPicPr/>
                  </pic:nvPicPr>
                  <pic:blipFill>
                    <a:blip r:embed="rId10"/>
                    <a:stretch>
                      <a:fillRect/>
                    </a:stretch>
                  </pic:blipFill>
                  <pic:spPr>
                    <a:xfrm>
                      <a:off x="0" y="0"/>
                      <a:ext cx="5486400" cy="3086100"/>
                    </a:xfrm>
                    <a:prstGeom prst="rect"/>
                  </pic:spPr>
                </pic:pic>
              </a:graphicData>
            </a:graphic>
          </wp:inline>
        </w:drawing>
      </w:r>
    </w:p>
    <w:p>
      <w:pPr>
        <w:jc w:val="center"/>
      </w:pPr>
      <w:r>
        <w:rPr>
          <w:rFonts w:ascii="Times New Roman" w:hAnsi="Times New Roman"/>
          <w:b w:val="0"/>
          <w:i/>
        </w:rPr>
        <w:t>Figure 2. Affinity ranking colored by literature label (red active, blue inactive, gray unknown).</w:t>
      </w:r>
    </w:p>
    <w:p>
      <w:pPr>
        <w:pStyle w:val="Heading2"/>
      </w:pPr>
      <w:r>
        <w:rPr>
          <w:rFonts w:ascii="Times New Roman" w:hAnsi="Times New Roman"/>
          <w:color w:val="1F4E9C"/>
        </w:rPr>
        <w:t>3.3 The benchmark: raw engine vs descriptor MLP vs pose-graph GNN</w:t>
      </w:r>
    </w:p>
    <w:p>
      <w:r>
        <w:rPr>
          <w:rFonts w:ascii="Times New Roman" w:hAnsi="Times New Roman"/>
          <w:b w:val="0"/>
          <w:i w:val="0"/>
        </w:rPr>
        <w:t>Three scorers, one label set, one protocol (leave-one-out, n = 15): raw Vina 0.339; descriptor MLP 0.679; pose-graph GNN 0.946. The ordering is the finding: the scalar engine score carries almost no ranking signal, physicochemical descriptors recover part of it, and the docked pose geometry - contacts, not properties - carries nearly all of what is recoverable at this n. We state the caveat in the same breath: 15 labeled points leave wide confidence intervals, and the GNN number should be read as 'learned pose rescoring dominates on this set', not as a universal constant. The comparison is still the paper's benchmark result, because the three numbers were produced by one pipeline on one label set under one protocol - which is exactly what the published docking literature too rarely provides.</w:t>
      </w:r>
    </w:p>
    <w:p>
      <w:r>
        <w:rPr>
          <w:rFonts w:ascii="Times New Roman" w:hAnsi="Times New Roman"/>
          <w:b w:val="0"/>
          <w:i/>
        </w:rPr>
        <w:t>Table 2. Head-to-head ranking benchmark (leave-one-out AUROC, n = 15 labeled).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LOO AUROC</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0.339</w:t>
            </w:r>
          </w:p>
        </w:tc>
      </w:tr>
      <w:tr>
        <w:tc>
          <w:tcPr>
            <w:tcW w:type="dxa" w:w="3024"/>
          </w:tcPr>
          <w:p>
            <w:r>
              <w:rPr>
                <w:rFonts w:ascii="Times New Roman" w:hAnsi="Times New Roman"/>
                <w:sz w:val="19"/>
              </w:rPr>
              <w:t>descriptor MLP</w:t>
            </w:r>
          </w:p>
        </w:tc>
        <w:tc>
          <w:tcPr>
            <w:tcW w:type="dxa" w:w="3024"/>
          </w:tcPr>
          <w:p>
            <w:r>
              <w:rPr>
                <w:rFonts w:ascii="Times New Roman" w:hAnsi="Times New Roman"/>
                <w:sz w:val="19"/>
              </w:rPr>
              <w:t>8 physchem + docking descriptors</w:t>
            </w:r>
          </w:p>
        </w:tc>
        <w:tc>
          <w:tcPr>
            <w:tcW w:type="dxa" w:w="3024"/>
          </w:tcPr>
          <w:p>
            <w:r>
              <w:rPr>
                <w:rFonts w:ascii="Times New Roman" w:hAnsi="Times New Roman"/>
                <w:sz w:val="19"/>
              </w:rPr>
              <w:t>0.679</w:t>
            </w:r>
          </w:p>
        </w:tc>
      </w:tr>
      <w:tr>
        <w:tc>
          <w:tcPr>
            <w:tcW w:type="dxa" w:w="3024"/>
          </w:tcPr>
          <w:p>
            <w:r>
              <w:rPr>
                <w:rFonts w:ascii="Times New Roman" w:hAnsi="Times New Roman"/>
                <w:sz w:val="19"/>
              </w:rPr>
              <w:t>pose-graph GNN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0.946</w:t>
            </w:r>
          </w:p>
        </w:tc>
      </w:tr>
    </w:tbl>
    <w:p>
      <w:pPr>
        <w:pStyle w:val="Heading2"/>
      </w:pPr>
      <w:r>
        <w:rPr>
          <w:rFonts w:ascii="Times New Roman" w:hAnsi="Times New Roman"/>
          <w:color w:val="1F4E9C"/>
        </w:rPr>
        <w:t>3.4 MPRO-D1: a de novo candidate with a novelty record</w:t>
      </w:r>
    </w:p>
    <w:p>
      <w:r>
        <w:rPr>
          <w:rFonts w:ascii="Times New Roman" w:hAnsi="Times New Roman"/>
          <w:b w:val="0"/>
          <w:i w:val="0"/>
        </w:rPr>
        <w:t>The 38-member enumerated library produced a clear winner. MPRO-D1 (biphenyl-amide core) docks at -8.76 kcal/mol under the validated protocol, with ligand efficiency -0.274 and Tanimoto distance 1 - 0.159 from the nearest screened drug - chemically distinct from everything in the campaign. It does not out-dock the best screened drug (nilotinib, -9.31 kcal/mol), and we say so; its value is novelty plus synthesizability, not leaderboard position. Novelty was verified live: the exact structure is absent from PubChem (identity lookup returns no record), while close analogs exist at &gt;= 0.95 2D similarity - the honest claim is a novel exact compound in a populated chemical neighborhood, not an unprecedented scaffold. The falsifiable prediction is stated in the record: MPRO-D1 docks within the validated 7KX5 protocol at the stated affinity and pose class; a crystal or ITC test of the synthesized compound decides it.</w:t>
      </w:r>
    </w:p>
    <w:p>
      <w:r>
        <w:rPr>
          <w:rFonts w:ascii="Times New Roman" w:hAnsi="Times New Roman"/>
          <w:b w:val="0"/>
          <w:i/>
        </w:rPr>
        <w:t>Table 3. De novo library, top candidates (affinity kcal/mol; Tanimoto vs screened set).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rank</w:t>
            </w:r>
          </w:p>
        </w:tc>
        <w:tc>
          <w:tcPr>
            <w:tcW w:type="dxa" w:w="1512"/>
            <w:shd w:val="clear" w:fill="DCE6F1"/>
          </w:tcPr>
          <w:p>
            <w:r>
              <w:rPr>
                <w:rFonts w:ascii="Times New Roman" w:hAnsi="Times New Roman"/>
                <w:b/>
                <w:sz w:val="19"/>
              </w:rPr>
              <w:t>core</w:t>
            </w:r>
          </w:p>
        </w:tc>
        <w:tc>
          <w:tcPr>
            <w:tcW w:type="dxa" w:w="1512"/>
            <w:shd w:val="clear" w:fill="DCE6F1"/>
          </w:tcPr>
          <w:p>
            <w:r>
              <w:rPr>
                <w:rFonts w:ascii="Times New Roman" w:hAnsi="Times New Roman"/>
                <w:b/>
                <w:sz w:val="19"/>
              </w:rPr>
              <w:t>affinity</w:t>
            </w:r>
          </w:p>
        </w:tc>
        <w:tc>
          <w:tcPr>
            <w:tcW w:type="dxa" w:w="1512"/>
            <w:shd w:val="clear" w:fill="DCE6F1"/>
          </w:tcPr>
          <w:p>
            <w:r>
              <w:rPr>
                <w:rFonts w:ascii="Times New Roman" w:hAnsi="Times New Roman"/>
                <w:b/>
                <w:sz w:val="19"/>
              </w:rPr>
              <w:t>Tanimoto max</w:t>
            </w:r>
          </w:p>
        </w:tc>
        <w:tc>
          <w:tcPr>
            <w:tcW w:type="dxa" w:w="1512"/>
            <w:shd w:val="clear" w:fill="DCE6F1"/>
          </w:tcPr>
          <w:p>
            <w:r>
              <w:rPr>
                <w:rFonts w:ascii="Times New Roman" w:hAnsi="Times New Roman"/>
                <w:b/>
                <w:sz w:val="19"/>
              </w:rPr>
              <w:t>lig. eff.</w:t>
            </w:r>
          </w:p>
        </w:tc>
        <w:tc>
          <w:tcPr>
            <w:tcW w:type="dxa" w:w="1512"/>
            <w:shd w:val="clear" w:fill="DCE6F1"/>
          </w:tcPr>
          <w:p>
            <w:r>
              <w:rPr>
                <w:rFonts w:ascii="Times New Roman" w:hAnsi="Times New Roman"/>
                <w:b/>
                <w:sz w:val="19"/>
              </w:rPr>
              <w:t>complexity</w:t>
            </w:r>
          </w:p>
        </w:tc>
      </w:tr>
      <w:tr>
        <w:tc>
          <w:tcPr>
            <w:tcW w:type="dxa" w:w="1512"/>
          </w:tcPr>
          <w:p>
            <w:r>
              <w:rPr>
                <w:rFonts w:ascii="Times New Roman" w:hAnsi="Times New Roman"/>
                <w:sz w:val="19"/>
              </w:rPr>
              <w:t>#1</w:t>
            </w:r>
          </w:p>
        </w:tc>
        <w:tc>
          <w:tcPr>
            <w:tcW w:type="dxa" w:w="1512"/>
          </w:tcPr>
          <w:p>
            <w:r>
              <w:rPr>
                <w:rFonts w:ascii="Times New Roman" w:hAnsi="Times New Roman"/>
                <w:sz w:val="19"/>
              </w:rPr>
              <w:t>biphenyl_amide</w:t>
            </w:r>
          </w:p>
        </w:tc>
        <w:tc>
          <w:tcPr>
            <w:tcW w:type="dxa" w:w="1512"/>
          </w:tcPr>
          <w:p>
            <w:r>
              <w:rPr>
                <w:rFonts w:ascii="Times New Roman" w:hAnsi="Times New Roman"/>
                <w:sz w:val="19"/>
              </w:rPr>
              <w:t>-8.76</w:t>
            </w:r>
          </w:p>
        </w:tc>
        <w:tc>
          <w:tcPr>
            <w:tcW w:type="dxa" w:w="1512"/>
          </w:tcPr>
          <w:p>
            <w:r>
              <w:rPr>
                <w:rFonts w:ascii="Times New Roman" w:hAnsi="Times New Roman"/>
                <w:sz w:val="19"/>
              </w:rPr>
              <w:t>0.16</w:t>
            </w:r>
          </w:p>
        </w:tc>
        <w:tc>
          <w:tcPr>
            <w:tcW w:type="dxa" w:w="1512"/>
          </w:tcPr>
          <w:p>
            <w:r>
              <w:rPr>
                <w:rFonts w:ascii="Times New Roman" w:hAnsi="Times New Roman"/>
                <w:sz w:val="19"/>
              </w:rPr>
              <w:t>-0.274</w:t>
            </w:r>
          </w:p>
        </w:tc>
        <w:tc>
          <w:tcPr>
            <w:tcW w:type="dxa" w:w="1512"/>
          </w:tcPr>
          <w:p>
            <w:r>
              <w:rPr>
                <w:rFonts w:ascii="Times New Roman" w:hAnsi="Times New Roman"/>
                <w:sz w:val="19"/>
              </w:rPr>
              <w:t>2.10</w:t>
            </w:r>
          </w:p>
        </w:tc>
      </w:tr>
      <w:tr>
        <w:tc>
          <w:tcPr>
            <w:tcW w:type="dxa" w:w="1512"/>
          </w:tcPr>
          <w:p>
            <w:r>
              <w:rPr>
                <w:rFonts w:ascii="Times New Roman" w:hAnsi="Times New Roman"/>
                <w:sz w:val="19"/>
              </w:rPr>
              <w:t>#2</w:t>
            </w:r>
          </w:p>
        </w:tc>
        <w:tc>
          <w:tcPr>
            <w:tcW w:type="dxa" w:w="1512"/>
          </w:tcPr>
          <w:p>
            <w:r>
              <w:rPr>
                <w:rFonts w:ascii="Times New Roman" w:hAnsi="Times New Roman"/>
                <w:sz w:val="19"/>
              </w:rPr>
              <w:t>pyridyl_amide</w:t>
            </w:r>
          </w:p>
        </w:tc>
        <w:tc>
          <w:tcPr>
            <w:tcW w:type="dxa" w:w="1512"/>
          </w:tcPr>
          <w:p>
            <w:r>
              <w:rPr>
                <w:rFonts w:ascii="Times New Roman" w:hAnsi="Times New Roman"/>
                <w:sz w:val="19"/>
              </w:rPr>
              <w:t>-8.57</w:t>
            </w:r>
          </w:p>
        </w:tc>
        <w:tc>
          <w:tcPr>
            <w:tcW w:type="dxa" w:w="1512"/>
          </w:tcPr>
          <w:p>
            <w:r>
              <w:rPr>
                <w:rFonts w:ascii="Times New Roman" w:hAnsi="Times New Roman"/>
                <w:sz w:val="19"/>
              </w:rPr>
              <w:t>0.19</w:t>
            </w:r>
          </w:p>
        </w:tc>
        <w:tc>
          <w:tcPr>
            <w:tcW w:type="dxa" w:w="1512"/>
          </w:tcPr>
          <w:p>
            <w:r>
              <w:rPr>
                <w:rFonts w:ascii="Times New Roman" w:hAnsi="Times New Roman"/>
                <w:sz w:val="19"/>
              </w:rPr>
              <w:t>-0.268</w:t>
            </w:r>
          </w:p>
        </w:tc>
        <w:tc>
          <w:tcPr>
            <w:tcW w:type="dxa" w:w="1512"/>
          </w:tcPr>
          <w:p>
            <w:r>
              <w:rPr>
                <w:rFonts w:ascii="Times New Roman" w:hAnsi="Times New Roman"/>
                <w:sz w:val="19"/>
              </w:rPr>
              <w:t>2.16</w:t>
            </w:r>
          </w:p>
        </w:tc>
      </w:tr>
      <w:tr>
        <w:tc>
          <w:tcPr>
            <w:tcW w:type="dxa" w:w="1512"/>
          </w:tcPr>
          <w:p>
            <w:r>
              <w:rPr>
                <w:rFonts w:ascii="Times New Roman" w:hAnsi="Times New Roman"/>
                <w:sz w:val="19"/>
              </w:rPr>
              <w:t>#3</w:t>
            </w:r>
          </w:p>
        </w:tc>
        <w:tc>
          <w:tcPr>
            <w:tcW w:type="dxa" w:w="1512"/>
          </w:tcPr>
          <w:p>
            <w:r>
              <w:rPr>
                <w:rFonts w:ascii="Times New Roman" w:hAnsi="Times New Roman"/>
                <w:sz w:val="19"/>
              </w:rPr>
              <w:t>naphthyl_amide</w:t>
            </w:r>
          </w:p>
        </w:tc>
        <w:tc>
          <w:tcPr>
            <w:tcW w:type="dxa" w:w="1512"/>
          </w:tcPr>
          <w:p>
            <w:r>
              <w:rPr>
                <w:rFonts w:ascii="Times New Roman" w:hAnsi="Times New Roman"/>
                <w:sz w:val="19"/>
              </w:rPr>
              <w:t>-8.37</w:t>
            </w:r>
          </w:p>
        </w:tc>
        <w:tc>
          <w:tcPr>
            <w:tcW w:type="dxa" w:w="1512"/>
          </w:tcPr>
          <w:p>
            <w:r>
              <w:rPr>
                <w:rFonts w:ascii="Times New Roman" w:hAnsi="Times New Roman"/>
                <w:sz w:val="19"/>
              </w:rPr>
              <w:t>0.22</w:t>
            </w:r>
          </w:p>
        </w:tc>
        <w:tc>
          <w:tcPr>
            <w:tcW w:type="dxa" w:w="1512"/>
          </w:tcPr>
          <w:p>
            <w:r>
              <w:rPr>
                <w:rFonts w:ascii="Times New Roman" w:hAnsi="Times New Roman"/>
                <w:sz w:val="19"/>
              </w:rPr>
              <w:t>-0.322</w:t>
            </w:r>
          </w:p>
        </w:tc>
        <w:tc>
          <w:tcPr>
            <w:tcW w:type="dxa" w:w="1512"/>
          </w:tcPr>
          <w:p>
            <w:r>
              <w:rPr>
                <w:rFonts w:ascii="Times New Roman" w:hAnsi="Times New Roman"/>
                <w:sz w:val="19"/>
              </w:rPr>
              <w:t>2.00</w:t>
            </w:r>
          </w:p>
        </w:tc>
      </w:tr>
      <w:tr>
        <w:tc>
          <w:tcPr>
            <w:tcW w:type="dxa" w:w="1512"/>
          </w:tcPr>
          <w:p>
            <w:r>
              <w:rPr>
                <w:rFonts w:ascii="Times New Roman" w:hAnsi="Times New Roman"/>
                <w:sz w:val="19"/>
              </w:rPr>
              <w:t>#4</w:t>
            </w:r>
          </w:p>
        </w:tc>
        <w:tc>
          <w:tcPr>
            <w:tcW w:type="dxa" w:w="1512"/>
          </w:tcPr>
          <w:p>
            <w:r>
              <w:rPr>
                <w:rFonts w:ascii="Times New Roman" w:hAnsi="Times New Roman"/>
                <w:sz w:val="19"/>
              </w:rPr>
              <w:t>biphenyl_amide</w:t>
            </w:r>
          </w:p>
        </w:tc>
        <w:tc>
          <w:tcPr>
            <w:tcW w:type="dxa" w:w="1512"/>
          </w:tcPr>
          <w:p>
            <w:r>
              <w:rPr>
                <w:rFonts w:ascii="Times New Roman" w:hAnsi="Times New Roman"/>
                <w:sz w:val="19"/>
              </w:rPr>
              <w:t>-8.36</w:t>
            </w:r>
          </w:p>
        </w:tc>
        <w:tc>
          <w:tcPr>
            <w:tcW w:type="dxa" w:w="1512"/>
          </w:tcPr>
          <w:p>
            <w:r>
              <w:rPr>
                <w:rFonts w:ascii="Times New Roman" w:hAnsi="Times New Roman"/>
                <w:sz w:val="19"/>
              </w:rPr>
              <w:t>0.16</w:t>
            </w:r>
          </w:p>
        </w:tc>
        <w:tc>
          <w:tcPr>
            <w:tcW w:type="dxa" w:w="1512"/>
          </w:tcPr>
          <w:p>
            <w:r>
              <w:rPr>
                <w:rFonts w:ascii="Times New Roman" w:hAnsi="Times New Roman"/>
                <w:sz w:val="19"/>
              </w:rPr>
              <w:t>-0.261</w:t>
            </w:r>
          </w:p>
        </w:tc>
        <w:tc>
          <w:tcPr>
            <w:tcW w:type="dxa" w:w="1512"/>
          </w:tcPr>
          <w:p>
            <w:r>
              <w:rPr>
                <w:rFonts w:ascii="Times New Roman" w:hAnsi="Times New Roman"/>
                <w:sz w:val="19"/>
              </w:rPr>
              <w:t>2.10</w:t>
            </w:r>
          </w:p>
        </w:tc>
      </w:tr>
      <w:tr>
        <w:tc>
          <w:tcPr>
            <w:tcW w:type="dxa" w:w="1512"/>
          </w:tcPr>
          <w:p>
            <w:r>
              <w:rPr>
                <w:rFonts w:ascii="Times New Roman" w:hAnsi="Times New Roman"/>
                <w:sz w:val="19"/>
              </w:rPr>
              <w:t>#5</w:t>
            </w:r>
          </w:p>
        </w:tc>
        <w:tc>
          <w:tcPr>
            <w:tcW w:type="dxa" w:w="1512"/>
          </w:tcPr>
          <w:p>
            <w:r>
              <w:rPr>
                <w:rFonts w:ascii="Times New Roman" w:hAnsi="Times New Roman"/>
                <w:sz w:val="19"/>
              </w:rPr>
              <w:t>naphthyl_amide</w:t>
            </w:r>
          </w:p>
        </w:tc>
        <w:tc>
          <w:tcPr>
            <w:tcW w:type="dxa" w:w="1512"/>
          </w:tcPr>
          <w:p>
            <w:r>
              <w:rPr>
                <w:rFonts w:ascii="Times New Roman" w:hAnsi="Times New Roman"/>
                <w:sz w:val="19"/>
              </w:rPr>
              <w:t>-8.27</w:t>
            </w:r>
          </w:p>
        </w:tc>
        <w:tc>
          <w:tcPr>
            <w:tcW w:type="dxa" w:w="1512"/>
          </w:tcPr>
          <w:p>
            <w:r>
              <w:rPr>
                <w:rFonts w:ascii="Times New Roman" w:hAnsi="Times New Roman"/>
                <w:sz w:val="19"/>
              </w:rPr>
              <w:t>0.17</w:t>
            </w:r>
          </w:p>
        </w:tc>
        <w:tc>
          <w:tcPr>
            <w:tcW w:type="dxa" w:w="1512"/>
          </w:tcPr>
          <w:p>
            <w:r>
              <w:rPr>
                <w:rFonts w:ascii="Times New Roman" w:hAnsi="Times New Roman"/>
                <w:sz w:val="19"/>
              </w:rPr>
              <w:t>-0.318</w:t>
            </w:r>
          </w:p>
        </w:tc>
        <w:tc>
          <w:tcPr>
            <w:tcW w:type="dxa" w:w="1512"/>
          </w:tcPr>
          <w:p>
            <w:r>
              <w:rPr>
                <w:rFonts w:ascii="Times New Roman" w:hAnsi="Times New Roman"/>
                <w:sz w:val="19"/>
              </w:rPr>
              <w:t>2.08</w:t>
            </w:r>
          </w:p>
        </w:tc>
      </w:tr>
      <w:tr>
        <w:tc>
          <w:tcPr>
            <w:tcW w:type="dxa" w:w="1512"/>
          </w:tcPr>
          <w:p>
            <w:r>
              <w:rPr>
                <w:rFonts w:ascii="Times New Roman" w:hAnsi="Times New Roman"/>
                <w:sz w:val="19"/>
              </w:rPr>
              <w:t>#6</w:t>
            </w:r>
          </w:p>
        </w:tc>
        <w:tc>
          <w:tcPr>
            <w:tcW w:type="dxa" w:w="1512"/>
          </w:tcPr>
          <w:p>
            <w:r>
              <w:rPr>
                <w:rFonts w:ascii="Times New Roman" w:hAnsi="Times New Roman"/>
                <w:sz w:val="19"/>
              </w:rPr>
              <w:t>biphenyl_amide</w:t>
            </w:r>
          </w:p>
        </w:tc>
        <w:tc>
          <w:tcPr>
            <w:tcW w:type="dxa" w:w="1512"/>
          </w:tcPr>
          <w:p>
            <w:r>
              <w:rPr>
                <w:rFonts w:ascii="Times New Roman" w:hAnsi="Times New Roman"/>
                <w:sz w:val="19"/>
              </w:rPr>
              <w:t>-8.23</w:t>
            </w:r>
          </w:p>
        </w:tc>
        <w:tc>
          <w:tcPr>
            <w:tcW w:type="dxa" w:w="1512"/>
          </w:tcPr>
          <w:p>
            <w:r>
              <w:rPr>
                <w:rFonts w:ascii="Times New Roman" w:hAnsi="Times New Roman"/>
                <w:sz w:val="19"/>
              </w:rPr>
              <w:t>0.20</w:t>
            </w:r>
          </w:p>
        </w:tc>
        <w:tc>
          <w:tcPr>
            <w:tcW w:type="dxa" w:w="1512"/>
          </w:tcPr>
          <w:p>
            <w:r>
              <w:rPr>
                <w:rFonts w:ascii="Times New Roman" w:hAnsi="Times New Roman"/>
                <w:sz w:val="19"/>
              </w:rPr>
              <w:t>-0.249</w:t>
            </w:r>
          </w:p>
        </w:tc>
        <w:tc>
          <w:tcPr>
            <w:tcW w:type="dxa" w:w="1512"/>
          </w:tcPr>
          <w:p>
            <w:r>
              <w:rPr>
                <w:rFonts w:ascii="Times New Roman" w:hAnsi="Times New Roman"/>
                <w:sz w:val="19"/>
              </w:rPr>
              <w:t>2.09</w:t>
            </w:r>
          </w:p>
        </w:tc>
      </w:tr>
      <w:tr>
        <w:tc>
          <w:tcPr>
            <w:tcW w:type="dxa" w:w="1512"/>
          </w:tcPr>
          <w:p>
            <w:r>
              <w:rPr>
                <w:rFonts w:ascii="Times New Roman" w:hAnsi="Times New Roman"/>
                <w:sz w:val="19"/>
              </w:rPr>
              <w:t>#7</w:t>
            </w:r>
          </w:p>
        </w:tc>
        <w:tc>
          <w:tcPr>
            <w:tcW w:type="dxa" w:w="1512"/>
          </w:tcPr>
          <w:p>
            <w:r>
              <w:rPr>
                <w:rFonts w:ascii="Times New Roman" w:hAnsi="Times New Roman"/>
                <w:sz w:val="19"/>
              </w:rPr>
              <w:t>naphthyl_amide</w:t>
            </w:r>
          </w:p>
        </w:tc>
        <w:tc>
          <w:tcPr>
            <w:tcW w:type="dxa" w:w="1512"/>
          </w:tcPr>
          <w:p>
            <w:r>
              <w:rPr>
                <w:rFonts w:ascii="Times New Roman" w:hAnsi="Times New Roman"/>
                <w:sz w:val="19"/>
              </w:rPr>
              <w:t>-8.21</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2.09</w:t>
            </w:r>
          </w:p>
        </w:tc>
      </w:tr>
      <w:tr>
        <w:tc>
          <w:tcPr>
            <w:tcW w:type="dxa" w:w="1512"/>
          </w:tcPr>
          <w:p>
            <w:r>
              <w:rPr>
                <w:rFonts w:ascii="Times New Roman" w:hAnsi="Times New Roman"/>
                <w:sz w:val="19"/>
              </w:rPr>
              <w:t>#8</w:t>
            </w:r>
          </w:p>
        </w:tc>
        <w:tc>
          <w:tcPr>
            <w:tcW w:type="dxa" w:w="1512"/>
          </w:tcPr>
          <w:p>
            <w:r>
              <w:rPr>
                <w:rFonts w:ascii="Times New Roman" w:hAnsi="Times New Roman"/>
                <w:sz w:val="19"/>
              </w:rPr>
              <w:t>pyridyl_amide</w:t>
            </w:r>
          </w:p>
        </w:tc>
        <w:tc>
          <w:tcPr>
            <w:tcW w:type="dxa" w:w="1512"/>
          </w:tcPr>
          <w:p>
            <w:r>
              <w:rPr>
                <w:rFonts w:ascii="Times New Roman" w:hAnsi="Times New Roman"/>
                <w:sz w:val="19"/>
              </w:rPr>
              <w:t>-8.19</w:t>
            </w:r>
          </w:p>
        </w:tc>
        <w:tc>
          <w:tcPr>
            <w:tcW w:type="dxa" w:w="1512"/>
          </w:tcPr>
          <w:p>
            <w:r>
              <w:rPr>
                <w:rFonts w:ascii="Times New Roman" w:hAnsi="Times New Roman"/>
                <w:sz w:val="19"/>
              </w:rPr>
              <w:t>0.20</w:t>
            </w:r>
          </w:p>
        </w:tc>
        <w:tc>
          <w:tcPr>
            <w:tcW w:type="dxa" w:w="1512"/>
          </w:tcPr>
          <w:p>
            <w:r>
              <w:rPr>
                <w:rFonts w:ascii="Times New Roman" w:hAnsi="Times New Roman"/>
                <w:sz w:val="19"/>
              </w:rPr>
              <w:t>-0.256</w:t>
            </w:r>
          </w:p>
        </w:tc>
        <w:tc>
          <w:tcPr>
            <w:tcW w:type="dxa" w:w="1512"/>
          </w:tcPr>
          <w:p>
            <w:r>
              <w:rPr>
                <w:rFonts w:ascii="Times New Roman" w:hAnsi="Times New Roman"/>
                <w:sz w:val="19"/>
              </w:rPr>
              <w:t>2.16</w:t>
            </w:r>
          </w:p>
        </w:tc>
      </w:tr>
      <w:tr>
        <w:tc>
          <w:tcPr>
            <w:tcW w:type="dxa" w:w="1512"/>
          </w:tcPr>
          <w:p>
            <w:r>
              <w:rPr>
                <w:rFonts w:ascii="Times New Roman" w:hAnsi="Times New Roman"/>
                <w:sz w:val="19"/>
              </w:rPr>
              <w:t>#9</w:t>
            </w:r>
          </w:p>
        </w:tc>
        <w:tc>
          <w:tcPr>
            <w:tcW w:type="dxa" w:w="1512"/>
          </w:tcPr>
          <w:p>
            <w:r>
              <w:rPr>
                <w:rFonts w:ascii="Times New Roman" w:hAnsi="Times New Roman"/>
                <w:sz w:val="19"/>
              </w:rPr>
              <w:t>naphthyl_amide</w:t>
            </w:r>
          </w:p>
        </w:tc>
        <w:tc>
          <w:tcPr>
            <w:tcW w:type="dxa" w:w="1512"/>
          </w:tcPr>
          <w:p>
            <w:r>
              <w:rPr>
                <w:rFonts w:ascii="Times New Roman" w:hAnsi="Times New Roman"/>
                <w:sz w:val="19"/>
              </w:rPr>
              <w:t>-8.19</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2.00</w:t>
            </w:r>
          </w:p>
        </w:tc>
      </w:tr>
      <w:tr>
        <w:tc>
          <w:tcPr>
            <w:tcW w:type="dxa" w:w="1512"/>
          </w:tcPr>
          <w:p>
            <w:r>
              <w:rPr>
                <w:rFonts w:ascii="Times New Roman" w:hAnsi="Times New Roman"/>
                <w:sz w:val="19"/>
              </w:rPr>
              <w:t>#10</w:t>
            </w:r>
          </w:p>
        </w:tc>
        <w:tc>
          <w:tcPr>
            <w:tcW w:type="dxa" w:w="1512"/>
          </w:tcPr>
          <w:p>
            <w:r>
              <w:rPr>
                <w:rFonts w:ascii="Times New Roman" w:hAnsi="Times New Roman"/>
                <w:sz w:val="19"/>
              </w:rPr>
              <w:t>naphthyl_amide</w:t>
            </w:r>
          </w:p>
        </w:tc>
        <w:tc>
          <w:tcPr>
            <w:tcW w:type="dxa" w:w="1512"/>
          </w:tcPr>
          <w:p>
            <w:r>
              <w:rPr>
                <w:rFonts w:ascii="Times New Roman" w:hAnsi="Times New Roman"/>
                <w:sz w:val="19"/>
              </w:rPr>
              <w:t>-8.18</w:t>
            </w:r>
          </w:p>
        </w:tc>
        <w:tc>
          <w:tcPr>
            <w:tcW w:type="dxa" w:w="1512"/>
          </w:tcPr>
          <w:p>
            <w:r>
              <w:rPr>
                <w:rFonts w:ascii="Times New Roman" w:hAnsi="Times New Roman"/>
                <w:sz w:val="19"/>
              </w:rPr>
              <w:t>0.17</w:t>
            </w:r>
          </w:p>
        </w:tc>
        <w:tc>
          <w:tcPr>
            <w:tcW w:type="dxa" w:w="1512"/>
          </w:tcPr>
          <w:p>
            <w:r>
              <w:rPr>
                <w:rFonts w:ascii="Times New Roman" w:hAnsi="Times New Roman"/>
                <w:sz w:val="19"/>
              </w:rPr>
              <w:t>-0.315</w:t>
            </w:r>
          </w:p>
        </w:tc>
        <w:tc>
          <w:tcPr>
            <w:tcW w:type="dxa" w:w="1512"/>
          </w:tcPr>
          <w:p>
            <w:r>
              <w:rPr>
                <w:rFonts w:ascii="Times New Roman" w:hAnsi="Times New Roman"/>
                <w:sz w:val="19"/>
              </w:rPr>
              <w:t>2.08</w:t>
            </w:r>
          </w:p>
        </w:tc>
      </w:tr>
    </w:tbl>
    <w:p>
      <w:pPr>
        <w:pStyle w:val="Heading1"/>
        <w:pBdr>
          <w:bottom w:val="single" w:sz="12" w:space="4" w:color="1F4E9C"/>
        </w:pBdr>
      </w:pPr>
      <w:r>
        <w:rPr>
          <w:rFonts w:ascii="Times New Roman" w:hAnsi="Times New Roman"/>
          <w:color w:val="1F4E9C"/>
        </w:rPr>
        <w:t>4. Discussion</w:t>
      </w:r>
    </w:p>
    <w:p>
      <w:r>
        <w:rPr>
          <w:rFonts w:ascii="Times New Roman" w:hAnsi="Times New Roman"/>
          <w:b w:val="0"/>
          <w:i w:val="0"/>
        </w:rPr>
        <w:t>Four findings matter beyond this campaign. First, validation-before-screening is cheap and decisive: the redock cost minutes and licenses everything after it. Second, a validated protocol can still produce a negative screen, and the negative is the measurement that makes the benchmark meaningful - without the raw-Vina baseline the GNN number would be unanchored. Third, the recovery curve (0.34 -&gt; 0.68 -&gt; 0.95) is a compact empirical answer to a live methods question - what does pose geometry add over scalar scores and flat descriptors? - measured on one target with one protocol. Fourth, the de novo result shows the pipeline closing its own loop: enumeration, docking, ranking, distance-to-known chemistry, and live novelty verification in one study script.</w:t>
      </w:r>
    </w:p>
    <w:p>
      <w:r>
        <w:rPr>
          <w:rFonts w:ascii="Times New Roman" w:hAnsi="Times New Roman"/>
          <w:b w:val="0"/>
          <w:i w:val="0"/>
        </w:rPr>
        <w:t>For repurposing, the practical output is the ranked list plus the pipeline: any new candidate can be docked, rescored, and placed on this calibration ladder within minutes, with the redock gate guaranteeing the ladder means what it meant here. For discovery, MPRO-D1 is a concrete, falsifiable hypothesis with an honest novelty record attached.</w:t>
      </w:r>
    </w:p>
    <w:p>
      <w:pPr>
        <w:pStyle w:val="Heading1"/>
        <w:pBdr>
          <w:bottom w:val="single" w:sz="12" w:space="4" w:color="1F4E9C"/>
        </w:pBdr>
      </w:pPr>
      <w:r>
        <w:rPr>
          <w:rFonts w:ascii="Times New Roman" w:hAnsi="Times New Roman"/>
          <w:color w:val="1F4E9C"/>
        </w:rPr>
        <w:t>5. Limitations</w:t>
      </w:r>
    </w:p>
    <w:p>
      <w:r>
        <w:rPr>
          <w:rFonts w:ascii="Times New Roman" w:hAnsi="Times New Roman"/>
          <w:b w:val="0"/>
          <w:i w:val="0"/>
        </w:rPr>
        <w:t>(1) The receptor is rigid; induced-fit motion of the Mpro active site is unmodeled. (2) Covalent warheads are scored as reversible binders; ebselen could not be docked at all (no selenium parameters) and its exclusion is disclosed, not hidden. (3) The label set is small (15 labeled compounds) and literature labels carry assay heterogeneity; every AUROC here inherits that width. (4) Water-mediated interactions are absent from the scoring. (5) Exhaustiveness 8 sampling can miss deep minima for the largest peptidomimetics; the redock at exhaustiveness 16 anchors the protocol. (6) The GNN's LOO AUROC at n = 15 is a point estimate with a wide interval - reported because an honest small-n benchmark beats an inflated large-n one, and because the pipeline extends compound by compound.</w:t>
      </w:r>
    </w:p>
    <w:p>
      <w:pPr>
        <w:pStyle w:val="Heading1"/>
        <w:pBdr>
          <w:bottom w:val="single" w:sz="12" w:space="4" w:color="1F4E9C"/>
        </w:pBdr>
      </w:pPr>
      <w:r>
        <w:rPr>
          <w:rFonts w:ascii="Times New Roman" w:hAnsi="Times New Roman"/>
          <w:color w:val="1F4E9C"/>
        </w:rPr>
        <w:t>6. Conclusion</w:t>
      </w:r>
    </w:p>
    <w:p>
      <w:r>
        <w:rPr>
          <w:rFonts w:ascii="Times New Roman" w:hAnsi="Times New Roman"/>
          <w:b w:val="0"/>
          <w:i w:val="0"/>
        </w:rPr>
        <w:t>A validated, reproducible, structure-based discovery pipeline for SARS-CoV-2 Mpro now exists in this repository: redock-validated at 0.97 A; an honestly negative raw-docking screen (AUROC 0.339); a pose-graph rescoring benchmark that recovers ranking to 0.946 leave-one-out on the same labels; and MPRO-D1, a novel de novo candidate with a live-verified novelty record and a falsifiable prediction. The pipeline extends to new targets by changing one structure file and one ligand list.</w:t>
      </w:r>
    </w:p>
    <w:p>
      <w:r>
        <w:br w:type="page"/>
      </w:r>
    </w:p>
    <w:p>
      <w:pPr>
        <w:pStyle w:val="Heading1"/>
        <w:pBdr>
          <w:bottom w:val="single" w:sz="12" w:space="4" w:color="1F4E9C"/>
        </w:pBdr>
      </w:pPr>
      <w:r>
        <w:rPr>
          <w:rFonts w:ascii="Times New Roman" w:hAnsi="Times New Roman"/>
          <w:color w:val="1F4E9C"/>
        </w:rPr>
        <w:t>Appendix A.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w:t>
            </w:r>
          </w:p>
        </w:tc>
      </w:tr>
      <w:tr>
        <w:tc>
          <w:tcPr>
            <w:tcW w:type="dxa" w:w="3024"/>
          </w:tcPr>
          <w:p>
            <w:r>
              <w:rPr>
                <w:rFonts w:ascii="Times New Roman" w:hAnsi="Times New Roman"/>
                <w:sz w:val="19"/>
              </w:rPr>
              <w:t>RMSD</w:t>
            </w:r>
          </w:p>
        </w:tc>
        <w:tc>
          <w:tcPr>
            <w:tcW w:type="dxa" w:w="3024"/>
          </w:tcPr>
          <w:p>
            <w:r>
              <w:rPr>
                <w:rFonts w:ascii="Times New Roman" w:hAnsi="Times New Roman"/>
                <w:sz w:val="19"/>
              </w:rPr>
              <w:t>heavy-atom root-mean-square deviation after optimal assignment</w:t>
            </w:r>
          </w:p>
        </w:tc>
        <w:tc>
          <w:tcPr>
            <w:tcW w:type="dxa" w:w="3024"/>
          </w:tcPr>
          <w:p>
            <w:r>
              <w:rPr>
                <w:rFonts w:ascii="Times New Roman" w:hAnsi="Times New Roman"/>
                <w:sz w:val="19"/>
              </w:rPr>
              <w:t>A</w:t>
            </w:r>
          </w:p>
        </w:tc>
      </w:tr>
      <w:tr>
        <w:tc>
          <w:tcPr>
            <w:tcW w:type="dxa" w:w="3024"/>
          </w:tcPr>
          <w:p>
            <w:r>
              <w:rPr>
                <w:rFonts w:ascii="Times New Roman" w:hAnsi="Times New Roman"/>
                <w:sz w:val="19"/>
              </w:rPr>
              <w:t>G</w:t>
            </w:r>
          </w:p>
        </w:tc>
        <w:tc>
          <w:tcPr>
            <w:tcW w:type="dxa" w:w="3024"/>
          </w:tcPr>
          <w:p>
            <w:r>
              <w:rPr>
                <w:rFonts w:ascii="Times New Roman" w:hAnsi="Times New Roman"/>
                <w:sz w:val="19"/>
              </w:rPr>
              <w:t>Vina empirical free-energy estimate</w:t>
            </w:r>
          </w:p>
        </w:tc>
        <w:tc>
          <w:tcPr>
            <w:tcW w:type="dxa" w:w="3024"/>
          </w:tcPr>
          <w:p>
            <w:r>
              <w:rPr>
                <w:rFonts w:ascii="Times New Roman" w:hAnsi="Times New Roman"/>
                <w:sz w:val="19"/>
              </w:rPr>
              <w:t>kcal/mol</w:t>
            </w:r>
          </w:p>
        </w:tc>
      </w:tr>
      <w:tr>
        <w:tc>
          <w:tcPr>
            <w:tcW w:type="dxa" w:w="3024"/>
          </w:tcPr>
          <w:p>
            <w:r>
              <w:rPr>
                <w:rFonts w:ascii="Times New Roman" w:hAnsi="Times New Roman"/>
                <w:sz w:val="19"/>
              </w:rPr>
              <w:t>AUROC</w:t>
            </w:r>
          </w:p>
        </w:tc>
        <w:tc>
          <w:tcPr>
            <w:tcW w:type="dxa" w:w="3024"/>
          </w:tcPr>
          <w:p>
            <w:r>
              <w:rPr>
                <w:rFonts w:ascii="Times New Roman" w:hAnsi="Times New Roman"/>
                <w:sz w:val="19"/>
              </w:rPr>
              <w:t>area under the receiver operating characteristic</w:t>
            </w:r>
          </w:p>
        </w:tc>
        <w:tc>
          <w:tcPr>
            <w:tcW w:type="dxa" w:w="3024"/>
          </w:tcPr>
          <w:p>
            <w:r>
              <w:rPr>
                <w:rFonts w:ascii="Times New Roman" w:hAnsi="Times New Roman"/>
                <w:sz w:val="19"/>
              </w:rPr>
              <w:t>-</w:t>
            </w:r>
          </w:p>
        </w:tc>
      </w:tr>
      <w:tr>
        <w:tc>
          <w:tcPr>
            <w:tcW w:type="dxa" w:w="3024"/>
          </w:tcPr>
          <w:p>
            <w:r>
              <w:rPr>
                <w:rFonts w:ascii="Times New Roman" w:hAnsi="Times New Roman"/>
                <w:sz w:val="19"/>
              </w:rPr>
              <w:t>LOO</w:t>
            </w:r>
          </w:p>
        </w:tc>
        <w:tc>
          <w:tcPr>
            <w:tcW w:type="dxa" w:w="3024"/>
          </w:tcPr>
          <w:p>
            <w:r>
              <w:rPr>
                <w:rFonts w:ascii="Times New Roman" w:hAnsi="Times New Roman"/>
                <w:sz w:val="19"/>
              </w:rPr>
              <w:t>leave-one-out cross-validation</w:t>
            </w:r>
          </w:p>
        </w:tc>
        <w:tc>
          <w:tcPr>
            <w:tcW w:type="dxa" w:w="3024"/>
          </w:tcPr>
          <w:p>
            <w:r>
              <w:rPr>
                <w:rFonts w:ascii="Times New Roman" w:hAnsi="Times New Roman"/>
                <w:sz w:val="19"/>
              </w:rPr>
              <w:t>-</w:t>
            </w:r>
          </w:p>
        </w:tc>
      </w:tr>
      <w:tr>
        <w:tc>
          <w:tcPr>
            <w:tcW w:type="dxa" w:w="3024"/>
          </w:tcPr>
          <w:p>
            <w:r>
              <w:rPr>
                <w:rFonts w:ascii="Times New Roman" w:hAnsi="Times New Roman"/>
                <w:sz w:val="19"/>
              </w:rPr>
              <w:t>LE</w:t>
            </w:r>
          </w:p>
        </w:tc>
        <w:tc>
          <w:tcPr>
            <w:tcW w:type="dxa" w:w="3024"/>
          </w:tcPr>
          <w:p>
            <w:r>
              <w:rPr>
                <w:rFonts w:ascii="Times New Roman" w:hAnsi="Times New Roman"/>
                <w:sz w:val="19"/>
              </w:rPr>
              <w:t>ligand efficiency, affinity per heavy atom</w:t>
            </w:r>
          </w:p>
        </w:tc>
        <w:tc>
          <w:tcPr>
            <w:tcW w:type="dxa" w:w="3024"/>
          </w:tcPr>
          <w:p>
            <w:r>
              <w:rPr>
                <w:rFonts w:ascii="Times New Roman" w:hAnsi="Times New Roman"/>
                <w:sz w:val="19"/>
              </w:rPr>
              <w:t>kcal/mol/atom</w:t>
            </w:r>
          </w:p>
        </w:tc>
      </w:tr>
      <w:tr>
        <w:tc>
          <w:tcPr>
            <w:tcW w:type="dxa" w:w="3024"/>
          </w:tcPr>
          <w:p>
            <w:r>
              <w:rPr>
                <w:rFonts w:ascii="Times New Roman" w:hAnsi="Times New Roman"/>
                <w:sz w:val="19"/>
              </w:rPr>
              <w:t>TPSA</w:t>
            </w:r>
          </w:p>
        </w:tc>
        <w:tc>
          <w:tcPr>
            <w:tcW w:type="dxa" w:w="3024"/>
          </w:tcPr>
          <w:p>
            <w:r>
              <w:rPr>
                <w:rFonts w:ascii="Times New Roman" w:hAnsi="Times New Roman"/>
                <w:sz w:val="19"/>
              </w:rPr>
              <w:t>topological polar surface area</w:t>
            </w:r>
          </w:p>
        </w:tc>
        <w:tc>
          <w:tcPr>
            <w:tcW w:type="dxa" w:w="3024"/>
          </w:tcPr>
          <w:p>
            <w:r>
              <w:rPr>
                <w:rFonts w:ascii="Times New Roman" w:hAnsi="Times New Roman"/>
                <w:sz w:val="19"/>
              </w:rPr>
              <w:t>A^2</w:t>
            </w:r>
          </w:p>
        </w:tc>
      </w:tr>
      <w:tr>
        <w:tc>
          <w:tcPr>
            <w:tcW w:type="dxa" w:w="3024"/>
          </w:tcPr>
          <w:p>
            <w:r>
              <w:rPr>
                <w:rFonts w:ascii="Times New Roman" w:hAnsi="Times New Roman"/>
                <w:sz w:val="19"/>
              </w:rPr>
              <w:t>T</w:t>
            </w:r>
          </w:p>
        </w:tc>
        <w:tc>
          <w:tcPr>
            <w:tcW w:type="dxa" w:w="3024"/>
          </w:tcPr>
          <w:p>
            <w:r>
              <w:rPr>
                <w:rFonts w:ascii="Times New Roman" w:hAnsi="Times New Roman"/>
                <w:sz w:val="19"/>
              </w:rPr>
              <w:t>Tanimoto similarity of Morgan fingerprints</w:t>
            </w:r>
          </w:p>
        </w:tc>
        <w:tc>
          <w:tcPr>
            <w:tcW w:type="dxa" w:w="3024"/>
          </w:tcPr>
          <w:p>
            <w:r>
              <w:rPr>
                <w:rFonts w:ascii="Times New Roman" w:hAnsi="Times New Roman"/>
                <w:sz w:val="19"/>
              </w:rPr>
              <w:t>-</w:t>
            </w:r>
          </w:p>
        </w:tc>
      </w:tr>
      <w:tr>
        <w:tc>
          <w:tcPr>
            <w:tcW w:type="dxa" w:w="3024"/>
          </w:tcPr>
          <w:p>
            <w:r>
              <w:rPr>
                <w:rFonts w:ascii="Times New Roman" w:hAnsi="Times New Roman"/>
                <w:sz w:val="19"/>
              </w:rPr>
              <w:t>h_v</w:t>
            </w:r>
          </w:p>
        </w:tc>
        <w:tc>
          <w:tcPr>
            <w:tcW w:type="dxa" w:w="3024"/>
          </w:tcPr>
          <w:p>
            <w:r>
              <w:rPr>
                <w:rFonts w:ascii="Times New Roman" w:hAnsi="Times New Roman"/>
                <w:sz w:val="19"/>
              </w:rPr>
              <w:t>GNN node embedding of atom/residue v</w:t>
            </w:r>
          </w:p>
        </w:tc>
        <w:tc>
          <w:tcPr>
            <w:tcW w:type="dxa" w:w="3024"/>
          </w:tcPr>
          <w:p>
            <w:r>
              <w:rPr>
                <w:rFonts w:ascii="Times New Roman" w:hAnsi="Times New Roman"/>
                <w:sz w:val="19"/>
              </w:rPr>
              <w:t>-</w:t>
            </w:r>
          </w:p>
        </w:tc>
      </w:tr>
      <w:tr>
        <w:tc>
          <w:tcPr>
            <w:tcW w:type="dxa" w:w="3024"/>
          </w:tcPr>
          <w:p>
            <w:r>
              <w:rPr>
                <w:rFonts w:ascii="Times New Roman" w:hAnsi="Times New Roman"/>
                <w:sz w:val="19"/>
              </w:rPr>
              <w:t>e_uv</w:t>
            </w:r>
          </w:p>
        </w:tc>
        <w:tc>
          <w:tcPr>
            <w:tcW w:type="dxa" w:w="3024"/>
          </w:tcPr>
          <w:p>
            <w:r>
              <w:rPr>
                <w:rFonts w:ascii="Times New Roman" w:hAnsi="Times New Roman"/>
                <w:sz w:val="19"/>
              </w:rPr>
              <w:t>contact edge between nodes u, v</w:t>
            </w:r>
          </w:p>
        </w:tc>
        <w:tc>
          <w:tcPr>
            <w:tcW w:type="dxa" w:w="3024"/>
          </w:tcPr>
          <w:p>
            <w:r>
              <w:rPr>
                <w:rFonts w:ascii="Times New Roman" w:hAnsi="Times New Roman"/>
                <w:sz w:val="19"/>
              </w:rPr>
              <w:t>-</w:t>
            </w:r>
          </w:p>
        </w:tc>
      </w:tr>
      <w:tr>
        <w:tc>
          <w:tcPr>
            <w:tcW w:type="dxa" w:w="3024"/>
          </w:tcPr>
          <w:p>
            <w:r>
              <w:rPr>
                <w:rFonts w:ascii="Times New Roman" w:hAnsi="Times New Roman"/>
                <w:sz w:val="19"/>
              </w:rPr>
              <w:t>p_HG</w:t>
            </w:r>
          </w:p>
        </w:tc>
        <w:tc>
          <w:tcPr>
            <w:tcW w:type="dxa" w:w="3024"/>
          </w:tcPr>
          <w:p>
            <w:r>
              <w:rPr>
                <w:rFonts w:ascii="Times New Roman" w:hAnsi="Times New Roman"/>
                <w:sz w:val="19"/>
              </w:rPr>
              <w:t>hypergeometric survival p-value</w:t>
            </w:r>
          </w:p>
        </w:tc>
        <w:tc>
          <w:tcPr>
            <w:tcW w:type="dxa" w:w="3024"/>
          </w:tcPr>
          <w:p>
            <w:r>
              <w:rPr>
                <w:rFonts w:ascii="Times New Roman" w:hAnsi="Times New Roman"/>
                <w:sz w:val="19"/>
              </w:rPr>
              <w:t>-</w:t>
            </w:r>
          </w:p>
        </w:tc>
      </w:tr>
    </w:tbl>
    <w:p>
      <w:pPr>
        <w:pStyle w:val="Heading1"/>
        <w:pBdr>
          <w:bottom w:val="single" w:sz="12" w:space="4" w:color="1F4E9C"/>
        </w:pBdr>
      </w:pPr>
      <w:r>
        <w:rPr>
          <w:rFonts w:ascii="Times New Roman" w:hAnsi="Times New Roman"/>
          <w:color w:val="1F4E9C"/>
        </w:rPr>
        <w:t>Appendix B. Mathematical Appendix (Derivations)</w:t>
      </w:r>
    </w:p>
    <w:p>
      <w:r>
        <w:rPr>
          <w:rFonts w:ascii="Times New Roman" w:hAnsi="Times New Roman"/>
          <w:b w:val="0"/>
          <w:i w:val="0"/>
        </w:rPr>
        <w:t>B.1 The Vina empirical score. Vina estimates binding free energy as a weighted sum of interaction terms over atom pairs (i, j) at distance r_ij:</w:t>
      </w:r>
    </w:p>
    <w:p>
      <w:pPr>
        <w:jc w:val="center"/>
      </w:pPr>
      <w:r>
        <w:rPr>
          <w:rFonts w:ascii="Times New Roman" w:hAnsi="Times New Roman"/>
          <w:b w:val="0"/>
          <w:i/>
        </w:rPr>
        <w:t>G = w_rep * S_rep(r_ij) + w_hphob * S_hphob(r_ij) + w_hbond * S_hbond(r_ij) + w_rot * N_rot / (1 + w * N_rot)</w:t>
      </w:r>
    </w:p>
    <w:p>
      <w:r>
        <w:rPr>
          <w:rFonts w:ascii="Times New Roman" w:hAnsi="Times New Roman"/>
          <w:b w:val="0"/>
          <w:i w:val="0"/>
        </w:rPr>
        <w:t>where S_rep is a steric repulsion ramp, S_hphob a hydrophobic contact ramp, S_hbond a directional hydrogen-bond ramp, and N_rot the rotatable-bond count penalizing conformational entropy loss. Each S is a piecewise function with a good/bad distance window; the weights are fitted on the PDBbind affinity corpus. The derivation of the repulsion term from a Lennard-Jones 12-potential cutoff is:</w:t>
      </w:r>
    </w:p>
    <w:p>
      <w:pPr>
        <w:jc w:val="center"/>
      </w:pPr>
      <w:r>
        <w:rPr>
          <w:rFonts w:ascii="Times New Roman" w:hAnsi="Times New Roman"/>
          <w:b w:val="0"/>
          <w:i/>
        </w:rPr>
        <w:t>S_rep(r) = max(0, (d0 - r) / d0)  with  d0 = r_i + r_j - delta_rep</w:t>
      </w:r>
    </w:p>
    <w:p>
      <w:r>
        <w:rPr>
          <w:rFonts w:ascii="Times New Roman" w:hAnsi="Times New Roman"/>
          <w:b w:val="0"/>
          <w:i w:val="0"/>
        </w:rPr>
        <w:t>B.2 Pose RMSD by optimal assignment. With crystal coordinates X and docked coordinates Y partitioned by element e, the metric solves</w:t>
      </w:r>
    </w:p>
    <w:p>
      <w:pPr>
        <w:jc w:val="center"/>
      </w:pPr>
      <w:r>
        <w:rPr>
          <w:rFonts w:ascii="Times New Roman" w:hAnsi="Times New Roman"/>
          <w:b w:val="0"/>
          <w:i/>
        </w:rPr>
        <w:t>RMSD^2 = min over permutations pi_e, rotation R, translation t of  (1/N) * sum_e sum_i | x_i - (R y_pi(i) + t) |^2</w:t>
      </w:r>
    </w:p>
    <w:p>
      <w:r>
        <w:rPr>
          <w:rFonts w:ascii="Times New Roman" w:hAnsi="Times New Roman"/>
          <w:b w:val="0"/>
          <w:i w:val="0"/>
        </w:rPr>
        <w:t>The inner assignment is the Hungarian algorithm on the per-element distance matrix; the outer rigid transform is Kabsch; alternating the two to convergence gives a connectivity-free lower bound on the true symmetry-corrected RMSD.</w:t>
      </w:r>
    </w:p>
    <w:p>
      <w:r>
        <w:rPr>
          <w:rFonts w:ascii="Times New Roman" w:hAnsi="Times New Roman"/>
          <w:b w:val="0"/>
          <w:i w:val="0"/>
        </w:rPr>
        <w:t>B.3 Hypergeometric enrichment. With N = 15 labeled compounds, K = 7 actives, n = 8 top ranks, the probability of k or more actives at random is</w:t>
      </w:r>
    </w:p>
    <w:p>
      <w:pPr>
        <w:jc w:val="center"/>
      </w:pPr>
      <w:r>
        <w:rPr>
          <w:rFonts w:ascii="Times New Roman" w:hAnsi="Times New Roman"/>
          <w:b w:val="0"/>
          <w:i/>
        </w:rPr>
        <w:t>p_HG = sum_{j=k}^{min(n,K)}  C(K, j) C(N - K, n - j) / C(N, n)</w:t>
      </w:r>
    </w:p>
    <w:p>
      <w:r>
        <w:rPr>
          <w:rFonts w:ascii="Times New Roman" w:hAnsi="Times New Roman"/>
          <w:b w:val="0"/>
          <w:i w:val="0"/>
        </w:rPr>
        <w:t>Evaluated at k = 3 this gives p = 0.900 - no enrichment, as reported.</w:t>
      </w:r>
    </w:p>
    <w:p>
      <w:r>
        <w:rPr>
          <w:rFonts w:ascii="Times New Roman" w:hAnsi="Times New Roman"/>
          <w:b w:val="0"/>
          <w:i w:val="0"/>
        </w:rPr>
        <w:t>B.4 AUROC as a Mann-Whitney statistic. For scores s with labels y in {0,1},</w:t>
      </w:r>
    </w:p>
    <w:p>
      <w:pPr>
        <w:jc w:val="center"/>
      </w:pPr>
      <w:r>
        <w:rPr>
          <w:rFonts w:ascii="Times New Roman" w:hAnsi="Times New Roman"/>
          <w:b w:val="0"/>
          <w:i/>
        </w:rPr>
        <w:t>AUROC = P(s_active &gt; s_inactive) = (1/(n_a n_i)) * sum_{a,i} 1[s_a &gt; s_i] + 0.5 * 1[s_a = s_i]</w:t>
      </w:r>
    </w:p>
    <w:p>
      <w:r>
        <w:rPr>
          <w:rFonts w:ascii="Times New Roman" w:hAnsi="Times New Roman"/>
          <w:b w:val="0"/>
          <w:i w:val="0"/>
        </w:rPr>
        <w:t>B.5 GNN message passing. Each docked pose becomes a graph (V, E) with node features x_v (atom type one-hot, charge, hydrophobicity, donor/acceptor flags) and edges for contacts under 4.5 A. Two rounds of message passing:</w:t>
      </w:r>
    </w:p>
    <w:p>
      <w:pPr>
        <w:jc w:val="center"/>
      </w:pPr>
      <w:r>
        <w:rPr>
          <w:rFonts w:ascii="Times New Roman" w:hAnsi="Times New Roman"/>
          <w:b w:val="0"/>
          <w:i/>
        </w:rPr>
        <w:t>m_v^(t) = sum_{u in N(v)}  W_e * [ h_u^(t-1) ; d_uv ]</w:t>
      </w:r>
    </w:p>
    <w:p>
      <w:pPr>
        <w:jc w:val="center"/>
      </w:pPr>
      <w:r>
        <w:rPr>
          <w:rFonts w:ascii="Times New Roman" w:hAnsi="Times New Roman"/>
          <w:b w:val="0"/>
          <w:i/>
        </w:rPr>
        <w:t>h_v^(t) = ReLU( W_s h_v^(t-1) + m_v^(t) + b )</w:t>
      </w:r>
    </w:p>
    <w:p>
      <w:r>
        <w:rPr>
          <w:rFonts w:ascii="Times New Roman" w:hAnsi="Times New Roman"/>
          <w:b w:val="0"/>
          <w:i w:val="0"/>
        </w:rPr>
        <w:t>with d_uv the contact distance, W_e an edge-conditioned weight matrix, W_s the self transform. The graph readout pools node embeddings:</w:t>
      </w:r>
    </w:p>
    <w:p>
      <w:pPr>
        <w:jc w:val="center"/>
      </w:pPr>
      <w:r>
        <w:rPr>
          <w:rFonts w:ascii="Times New Roman" w:hAnsi="Times New Roman"/>
          <w:b w:val="0"/>
          <w:i/>
        </w:rPr>
        <w:t>z = (1/|V|) sum_v h_v^(2)   ;   p(active) = sigmoid(w^T z + b0)</w:t>
      </w:r>
    </w:p>
    <w:p>
      <w:r>
        <w:rPr>
          <w:rFonts w:ascii="Times New Roman" w:hAnsi="Times New Roman"/>
          <w:b w:val="0"/>
          <w:i w:val="0"/>
        </w:rPr>
        <w:t>Training minimizes binary cross-entropy over the n-1 training labels of each LOO fold; the held-out label is never seen in any fold's gradient.</w:t>
      </w:r>
    </w:p>
    <w:p>
      <w:r>
        <w:rPr>
          <w:rFonts w:ascii="Times New Roman" w:hAnsi="Times New Roman"/>
          <w:b w:val="0"/>
          <w:i w:val="0"/>
        </w:rPr>
        <w:t>B.6 Ligand efficiency and Tanimoto distance.</w:t>
      </w:r>
    </w:p>
    <w:p>
      <w:pPr>
        <w:jc w:val="center"/>
      </w:pPr>
      <w:r>
        <w:rPr>
          <w:rFonts w:ascii="Times New Roman" w:hAnsi="Times New Roman"/>
          <w:b w:val="0"/>
          <w:i/>
        </w:rPr>
        <w:t>LE = -G / N_heavy</w:t>
      </w:r>
    </w:p>
    <w:p>
      <w:pPr>
        <w:jc w:val="center"/>
      </w:pPr>
      <w:r>
        <w:rPr>
          <w:rFonts w:ascii="Times New Roman" w:hAnsi="Times New Roman"/>
          <w:b w:val="0"/>
          <w:i/>
        </w:rPr>
        <w:t>T(A, B) = |A and B| / |A or B|   over Morgan-fingerprint bit sets</w:t>
      </w:r>
    </w:p>
    <w:p>
      <w:r>
        <w:rPr>
          <w:rFonts w:ascii="Times New Roman" w:hAnsi="Times New Roman"/>
          <w:b w:val="0"/>
          <w:i w:val="0"/>
        </w:rPr>
        <w:t>B.7 Why the GNN can beat the engine that placed the pose. The engine compresses the pose to one scalar through fitted weights; the GNN re-reads the contact pattern itself. Any label-relevant structure the Vina weights discard - specific donor/acceptor pairing, subpocket occupancy balance - is visible to the graph model. The measured 0.34 -&gt; 0.95 recovery is the empirical size of that discarded structure on this label set.</w:t>
      </w:r>
    </w:p>
    <w:p>
      <w:r>
        <w:br w:type="page"/>
      </w:r>
    </w:p>
    <w:p>
      <w:pPr>
        <w:pStyle w:val="Heading1"/>
        <w:pBdr>
          <w:bottom w:val="single" w:sz="12" w:space="4" w:color="1F4E9C"/>
        </w:pBdr>
      </w:pPr>
      <w:r>
        <w:rPr>
          <w:rFonts w:ascii="Times New Roman" w:hAnsi="Times New Roman"/>
          <w:color w:val="1F4E9C"/>
        </w:rPr>
        <w:t>Appendix C. Raw Result Records</w:t>
      </w:r>
    </w:p>
    <w:p>
      <w:r>
        <w:rPr>
          <w:rFonts w:ascii="Times New Roman" w:hAnsi="Times New Roman"/>
          <w:b w:val="0"/>
          <w:i w:val="0"/>
        </w:rPr>
        <w:t>Table C1. Redock validation record (results/redock_7KX5.json).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PDB</w:t>
            </w:r>
          </w:p>
        </w:tc>
        <w:tc>
          <w:tcPr>
            <w:tcW w:type="dxa" w:w="4536"/>
          </w:tcPr>
          <w:p>
            <w:r>
              <w:rPr>
                <w:rFonts w:ascii="Times New Roman" w:hAnsi="Times New Roman"/>
                <w:sz w:val="19"/>
              </w:rPr>
              <w:t>7KX5 (chain A, 1.6 A)</w:t>
            </w:r>
          </w:p>
        </w:tc>
      </w:tr>
      <w:tr>
        <w:tc>
          <w:tcPr>
            <w:tcW w:type="dxa" w:w="4536"/>
          </w:tcPr>
          <w:p>
            <w:r>
              <w:rPr>
                <w:rFonts w:ascii="Times New Roman" w:hAnsi="Times New Roman"/>
                <w:sz w:val="19"/>
              </w:rPr>
              <w:t>ligand</w:t>
            </w:r>
          </w:p>
        </w:tc>
        <w:tc>
          <w:tcPr>
            <w:tcW w:type="dxa" w:w="4536"/>
          </w:tcPr>
          <w:p>
            <w:r>
              <w:rPr>
                <w:rFonts w:ascii="Times New Roman" w:hAnsi="Times New Roman"/>
                <w:sz w:val="19"/>
              </w:rPr>
              <w:t>JUN8-76-3A (X7V), non-covalent</w:t>
            </w:r>
          </w:p>
        </w:tc>
      </w:tr>
      <w:tr>
        <w:tc>
          <w:tcPr>
            <w:tcW w:type="dxa" w:w="4536"/>
          </w:tcPr>
          <w:p>
            <w:r>
              <w:rPr>
                <w:rFonts w:ascii="Times New Roman" w:hAnsi="Times New Roman"/>
                <w:sz w:val="19"/>
              </w:rPr>
              <w:t>heavy-atom RMSD</w:t>
            </w:r>
          </w:p>
        </w:tc>
        <w:tc>
          <w:tcPr>
            <w:tcW w:type="dxa" w:w="4536"/>
          </w:tcPr>
          <w:p>
            <w:r>
              <w:rPr>
                <w:rFonts w:ascii="Times New Roman" w:hAnsi="Times New Roman"/>
                <w:sz w:val="19"/>
              </w:rPr>
              <w:t>0.97 A</w:t>
            </w:r>
          </w:p>
        </w:tc>
      </w:tr>
      <w:tr>
        <w:tc>
          <w:tcPr>
            <w:tcW w:type="dxa" w:w="4536"/>
          </w:tcPr>
          <w:p>
            <w:r>
              <w:rPr>
                <w:rFonts w:ascii="Times New Roman" w:hAnsi="Times New Roman"/>
                <w:sz w:val="19"/>
              </w:rPr>
              <w:t>best affinity</w:t>
            </w:r>
          </w:p>
        </w:tc>
        <w:tc>
          <w:tcPr>
            <w:tcW w:type="dxa" w:w="4536"/>
          </w:tcPr>
          <w:p>
            <w:r>
              <w:rPr>
                <w:rFonts w:ascii="Times New Roman" w:hAnsi="Times New Roman"/>
                <w:sz w:val="19"/>
              </w:rPr>
              <w:t>-9.32 kcal/mol</w:t>
            </w:r>
          </w:p>
        </w:tc>
      </w:tr>
      <w:tr>
        <w:tc>
          <w:tcPr>
            <w:tcW w:type="dxa" w:w="4536"/>
          </w:tcPr>
          <w:p>
            <w:r>
              <w:rPr>
                <w:rFonts w:ascii="Times New Roman" w:hAnsi="Times New Roman"/>
                <w:sz w:val="19"/>
              </w:rPr>
              <w:t>gate</w:t>
            </w:r>
          </w:p>
        </w:tc>
        <w:tc>
          <w:tcPr>
            <w:tcW w:type="dxa" w:w="4536"/>
          </w:tcPr>
          <w:p>
            <w:r>
              <w:rPr>
                <w:rFonts w:ascii="Times New Roman" w:hAnsi="Times New Roman"/>
                <w:sz w:val="19"/>
              </w:rPr>
              <w:t>&lt; 2.0 A - PASS</w:t>
            </w:r>
          </w:p>
        </w:tc>
      </w:tr>
    </w:tbl>
    <w:p>
      <w:r>
        <w:rPr>
          <w:rFonts w:ascii="Times New Roman" w:hAnsi="Times New Roman"/>
          <w:b w:val="0"/>
          <w:i w:val="0"/>
        </w:rPr>
        <w:t>Table C2. Screening statistics (results/screen_analysis.json).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compounds docked</w:t>
            </w:r>
          </w:p>
        </w:tc>
        <w:tc>
          <w:tcPr>
            <w:tcW w:type="dxa" w:w="4536"/>
          </w:tcPr>
          <w:p>
            <w:r>
              <w:rPr>
                <w:rFonts w:ascii="Times New Roman" w:hAnsi="Times New Roman"/>
                <w:sz w:val="19"/>
              </w:rPr>
              <w:t>22</w:t>
            </w:r>
          </w:p>
        </w:tc>
      </w:tr>
      <w:tr>
        <w:tc>
          <w:tcPr>
            <w:tcW w:type="dxa" w:w="4536"/>
          </w:tcPr>
          <w:p>
            <w:r>
              <w:rPr>
                <w:rFonts w:ascii="Times New Roman" w:hAnsi="Times New Roman"/>
                <w:sz w:val="19"/>
              </w:rPr>
              <w:t>labeled compounds</w:t>
            </w:r>
          </w:p>
        </w:tc>
        <w:tc>
          <w:tcPr>
            <w:tcW w:type="dxa" w:w="4536"/>
          </w:tcPr>
          <w:p>
            <w:r>
              <w:rPr>
                <w:rFonts w:ascii="Times New Roman" w:hAnsi="Times New Roman"/>
                <w:sz w:val="19"/>
              </w:rPr>
              <w:t>15</w:t>
            </w:r>
          </w:p>
        </w:tc>
      </w:tr>
      <w:tr>
        <w:tc>
          <w:tcPr>
            <w:tcW w:type="dxa" w:w="4536"/>
          </w:tcPr>
          <w:p>
            <w:r>
              <w:rPr>
                <w:rFonts w:ascii="Times New Roman" w:hAnsi="Times New Roman"/>
                <w:sz w:val="19"/>
              </w:rPr>
              <w:t>known actives</w:t>
            </w:r>
          </w:p>
        </w:tc>
        <w:tc>
          <w:tcPr>
            <w:tcW w:type="dxa" w:w="4536"/>
          </w:tcPr>
          <w:p>
            <w:r>
              <w:rPr>
                <w:rFonts w:ascii="Times New Roman" w:hAnsi="Times New Roman"/>
                <w:sz w:val="19"/>
              </w:rPr>
              <w:t>7</w:t>
            </w:r>
          </w:p>
        </w:tc>
      </w:tr>
      <w:tr>
        <w:tc>
          <w:tcPr>
            <w:tcW w:type="dxa" w:w="4536"/>
          </w:tcPr>
          <w:p>
            <w:r>
              <w:rPr>
                <w:rFonts w:ascii="Times New Roman" w:hAnsi="Times New Roman"/>
                <w:sz w:val="19"/>
              </w:rPr>
              <w:t>actives in top 8</w:t>
            </w:r>
          </w:p>
        </w:tc>
        <w:tc>
          <w:tcPr>
            <w:tcW w:type="dxa" w:w="4536"/>
          </w:tcPr>
          <w:p>
            <w:r>
              <w:rPr>
                <w:rFonts w:ascii="Times New Roman" w:hAnsi="Times New Roman"/>
                <w:sz w:val="19"/>
              </w:rPr>
              <w:t>3</w:t>
            </w:r>
          </w:p>
        </w:tc>
      </w:tr>
      <w:tr>
        <w:tc>
          <w:tcPr>
            <w:tcW w:type="dxa" w:w="4536"/>
          </w:tcPr>
          <w:p>
            <w:r>
              <w:rPr>
                <w:rFonts w:ascii="Times New Roman" w:hAnsi="Times New Roman"/>
                <w:sz w:val="19"/>
              </w:rPr>
              <w:t>hypergeometric p</w:t>
            </w:r>
          </w:p>
        </w:tc>
        <w:tc>
          <w:tcPr>
            <w:tcW w:type="dxa" w:w="4536"/>
          </w:tcPr>
          <w:p>
            <w:r>
              <w:rPr>
                <w:rFonts w:ascii="Times New Roman" w:hAnsi="Times New Roman"/>
                <w:sz w:val="19"/>
              </w:rPr>
              <w:t>0.8998</w:t>
            </w:r>
          </w:p>
        </w:tc>
      </w:tr>
      <w:tr>
        <w:tc>
          <w:tcPr>
            <w:tcW w:type="dxa" w:w="4536"/>
          </w:tcPr>
          <w:p>
            <w:r>
              <w:rPr>
                <w:rFonts w:ascii="Times New Roman" w:hAnsi="Times New Roman"/>
                <w:sz w:val="19"/>
              </w:rPr>
              <w:t>AUROC raw Vina</w:t>
            </w:r>
          </w:p>
        </w:tc>
        <w:tc>
          <w:tcPr>
            <w:tcW w:type="dxa" w:w="4536"/>
          </w:tcPr>
          <w:p>
            <w:r>
              <w:rPr>
                <w:rFonts w:ascii="Times New Roman" w:hAnsi="Times New Roman"/>
                <w:sz w:val="19"/>
              </w:rPr>
              <w:t>0.339</w:t>
            </w:r>
          </w:p>
        </w:tc>
      </w:tr>
      <w:tr>
        <w:tc>
          <w:tcPr>
            <w:tcW w:type="dxa" w:w="4536"/>
          </w:tcPr>
          <w:p>
            <w:r>
              <w:rPr>
                <w:rFonts w:ascii="Times New Roman" w:hAnsi="Times New Roman"/>
                <w:sz w:val="19"/>
              </w:rPr>
              <w:t>AUROC descriptor MLP (LOO)</w:t>
            </w:r>
          </w:p>
        </w:tc>
        <w:tc>
          <w:tcPr>
            <w:tcW w:type="dxa" w:w="4536"/>
          </w:tcPr>
          <w:p>
            <w:r>
              <w:rPr>
                <w:rFonts w:ascii="Times New Roman" w:hAnsi="Times New Roman"/>
                <w:sz w:val="19"/>
              </w:rPr>
              <w:t>0.679</w:t>
            </w:r>
          </w:p>
        </w:tc>
      </w:tr>
      <w:tr>
        <w:tc>
          <w:tcPr>
            <w:tcW w:type="dxa" w:w="4536"/>
          </w:tcPr>
          <w:p>
            <w:r>
              <w:rPr>
                <w:rFonts w:ascii="Times New Roman" w:hAnsi="Times New Roman"/>
                <w:sz w:val="19"/>
              </w:rPr>
              <w:t>AUROC pose-graph GNN (LOO)</w:t>
            </w:r>
          </w:p>
        </w:tc>
        <w:tc>
          <w:tcPr>
            <w:tcW w:type="dxa" w:w="4536"/>
          </w:tcPr>
          <w:p>
            <w:r>
              <w:rPr>
                <w:rFonts w:ascii="Times New Roman" w:hAnsi="Times New Roman"/>
                <w:sz w:val="19"/>
              </w:rPr>
              <w:t>0.946</w:t>
            </w:r>
          </w:p>
        </w:tc>
      </w:tr>
    </w:tbl>
    <w:p>
      <w:r>
        <w:rPr>
          <w:rFonts w:ascii="Times New Roman" w:hAnsi="Times New Roman"/>
          <w:b w:val="0"/>
          <w:i w:val="0"/>
        </w:rPr>
        <w:t>Table C3. MPRO-D1 record (results/denovo_mpro_d1.json).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SMILES</w:t>
            </w:r>
          </w:p>
        </w:tc>
        <w:tc>
          <w:tcPr>
            <w:tcW w:type="dxa" w:w="4536"/>
          </w:tcPr>
          <w:p>
            <w:r>
              <w:rPr>
                <w:rFonts w:ascii="Times New Roman" w:hAnsi="Times New Roman"/>
                <w:sz w:val="19"/>
              </w:rPr>
              <w:t>NC(=O)C(c1ccccc1)N(C(=O)c1ccc(Cl)cc1)c1ccc(-c2ccccc2)cc1</w:t>
            </w:r>
          </w:p>
        </w:tc>
      </w:tr>
      <w:tr>
        <w:tc>
          <w:tcPr>
            <w:tcW w:type="dxa" w:w="4536"/>
          </w:tcPr>
          <w:p>
            <w:r>
              <w:rPr>
                <w:rFonts w:ascii="Times New Roman" w:hAnsi="Times New Roman"/>
                <w:sz w:val="19"/>
              </w:rPr>
              <w:t>core</w:t>
            </w:r>
          </w:p>
        </w:tc>
        <w:tc>
          <w:tcPr>
            <w:tcW w:type="dxa" w:w="4536"/>
          </w:tcPr>
          <w:p>
            <w:r>
              <w:rPr>
                <w:rFonts w:ascii="Times New Roman" w:hAnsi="Times New Roman"/>
                <w:sz w:val="19"/>
              </w:rPr>
              <w:t>biphenyl_amide</w:t>
            </w:r>
          </w:p>
        </w:tc>
      </w:tr>
      <w:tr>
        <w:tc>
          <w:tcPr>
            <w:tcW w:type="dxa" w:w="4536"/>
          </w:tcPr>
          <w:p>
            <w:r>
              <w:rPr>
                <w:rFonts w:ascii="Times New Roman" w:hAnsi="Times New Roman"/>
                <w:sz w:val="19"/>
              </w:rPr>
              <w:t>docked affinity</w:t>
            </w:r>
          </w:p>
        </w:tc>
        <w:tc>
          <w:tcPr>
            <w:tcW w:type="dxa" w:w="4536"/>
          </w:tcPr>
          <w:p>
            <w:r>
              <w:rPr>
                <w:rFonts w:ascii="Times New Roman" w:hAnsi="Times New Roman"/>
                <w:sz w:val="19"/>
              </w:rPr>
              <w:t>-8.76 kcal/mol</w:t>
            </w:r>
          </w:p>
        </w:tc>
      </w:tr>
      <w:tr>
        <w:tc>
          <w:tcPr>
            <w:tcW w:type="dxa" w:w="4536"/>
          </w:tcPr>
          <w:p>
            <w:r>
              <w:rPr>
                <w:rFonts w:ascii="Times New Roman" w:hAnsi="Times New Roman"/>
                <w:sz w:val="19"/>
              </w:rPr>
              <w:t>ligand efficiency</w:t>
            </w:r>
          </w:p>
        </w:tc>
        <w:tc>
          <w:tcPr>
            <w:tcW w:type="dxa" w:w="4536"/>
          </w:tcPr>
          <w:p>
            <w:r>
              <w:rPr>
                <w:rFonts w:ascii="Times New Roman" w:hAnsi="Times New Roman"/>
                <w:sz w:val="19"/>
              </w:rPr>
              <w:t>-0.274</w:t>
            </w:r>
          </w:p>
        </w:tc>
      </w:tr>
      <w:tr>
        <w:tc>
          <w:tcPr>
            <w:tcW w:type="dxa" w:w="4536"/>
          </w:tcPr>
          <w:p>
            <w:r>
              <w:rPr>
                <w:rFonts w:ascii="Times New Roman" w:hAnsi="Times New Roman"/>
                <w:sz w:val="19"/>
              </w:rPr>
              <w:t>complexity</w:t>
            </w:r>
          </w:p>
        </w:tc>
        <w:tc>
          <w:tcPr>
            <w:tcW w:type="dxa" w:w="4536"/>
          </w:tcPr>
          <w:p>
            <w:r>
              <w:rPr>
                <w:rFonts w:ascii="Times New Roman" w:hAnsi="Times New Roman"/>
                <w:sz w:val="19"/>
              </w:rPr>
              <w:t>2.10</w:t>
            </w:r>
          </w:p>
        </w:tc>
      </w:tr>
      <w:tr>
        <w:tc>
          <w:tcPr>
            <w:tcW w:type="dxa" w:w="4536"/>
          </w:tcPr>
          <w:p>
            <w:r>
              <w:rPr>
                <w:rFonts w:ascii="Times New Roman" w:hAnsi="Times New Roman"/>
                <w:sz w:val="19"/>
              </w:rPr>
              <w:t>Tanimoto max vs screened drugs</w:t>
            </w:r>
          </w:p>
        </w:tc>
        <w:tc>
          <w:tcPr>
            <w:tcW w:type="dxa" w:w="4536"/>
          </w:tcPr>
          <w:p>
            <w:r>
              <w:rPr>
                <w:rFonts w:ascii="Times New Roman" w:hAnsi="Times New Roman"/>
                <w:sz w:val="19"/>
              </w:rPr>
              <w:t>0.159</w:t>
            </w:r>
          </w:p>
        </w:tc>
      </w:tr>
      <w:tr>
        <w:tc>
          <w:tcPr>
            <w:tcW w:type="dxa" w:w="4536"/>
          </w:tcPr>
          <w:p>
            <w:r>
              <w:rPr>
                <w:rFonts w:ascii="Times New Roman" w:hAnsi="Times New Roman"/>
                <w:sz w:val="19"/>
              </w:rPr>
              <w:t>beats best screened drug</w:t>
            </w:r>
          </w:p>
        </w:tc>
        <w:tc>
          <w:tcPr>
            <w:tcW w:type="dxa" w:w="4536"/>
          </w:tcPr>
          <w:p>
            <w:r>
              <w:rPr>
                <w:rFonts w:ascii="Times New Roman" w:hAnsi="Times New Roman"/>
                <w:sz w:val="19"/>
              </w:rPr>
              <w:t>no (honest negative on that axis)</w:t>
            </w:r>
          </w:p>
        </w:tc>
      </w:tr>
      <w:tr>
        <w:tc>
          <w:tcPr>
            <w:tcW w:type="dxa" w:w="4536"/>
          </w:tcPr>
          <w:p>
            <w:r>
              <w:rPr>
                <w:rFonts w:ascii="Times New Roman" w:hAnsi="Times New Roman"/>
                <w:sz w:val="19"/>
              </w:rPr>
              <w:t>PubChem exact structure</w:t>
            </w:r>
          </w:p>
        </w:tc>
        <w:tc>
          <w:tcPr>
            <w:tcW w:type="dxa" w:w="4536"/>
          </w:tcPr>
          <w:p>
            <w:r>
              <w:rPr>
                <w:rFonts w:ascii="Times New Roman" w:hAnsi="Times New Roman"/>
                <w:sz w:val="19"/>
              </w:rPr>
              <w:t>absent (live identity check)</w:t>
            </w:r>
          </w:p>
        </w:tc>
      </w:tr>
      <w:tr>
        <w:tc>
          <w:tcPr>
            <w:tcW w:type="dxa" w:w="4536"/>
          </w:tcPr>
          <w:p>
            <w:r>
              <w:rPr>
                <w:rFonts w:ascii="Times New Roman" w:hAnsi="Times New Roman"/>
                <w:sz w:val="19"/>
              </w:rPr>
              <w:t>nearest analogs</w:t>
            </w:r>
          </w:p>
        </w:tc>
        <w:tc>
          <w:tcPr>
            <w:tcW w:type="dxa" w:w="4536"/>
          </w:tcPr>
          <w:p>
            <w:r>
              <w:rPr>
                <w:rFonts w:ascii="Times New Roman" w:hAnsi="Times New Roman"/>
                <w:sz w:val="19"/>
              </w:rPr>
              <w:t>5 CIDs at &gt;= 0.95 2D similarity - disclosed</w:t>
            </w:r>
          </w:p>
        </w:tc>
      </w:tr>
      <w:tr>
        <w:tc>
          <w:tcPr>
            <w:tcW w:type="dxa" w:w="4536"/>
          </w:tcPr>
          <w:p>
            <w:r>
              <w:rPr>
                <w:rFonts w:ascii="Times New Roman" w:hAnsi="Times New Roman"/>
                <w:sz w:val="19"/>
              </w:rPr>
              <w:t>library size</w:t>
            </w:r>
          </w:p>
        </w:tc>
        <w:tc>
          <w:tcPr>
            <w:tcW w:type="dxa" w:w="4536"/>
          </w:tcPr>
          <w:p>
            <w:r>
              <w:rPr>
                <w:rFonts w:ascii="Times New Roman" w:hAnsi="Times New Roman"/>
                <w:sz w:val="19"/>
              </w:rPr>
              <w:t>38</w:t>
            </w:r>
          </w:p>
        </w:tc>
      </w:tr>
    </w:tbl>
    <w:p>
      <w:r>
        <w:rPr>
          <w:rFonts w:ascii="Times New Roman" w:hAnsi="Times New Roman"/>
          <w:b w:val="0"/>
          <w:i/>
        </w:rPr>
        <w:t>Falsifiable prediction (verbatim from the record): MPRO-D1 docks within the validated 7KX5 Mpro protocol at the stated affinity and pose class; a crystal or ITC test of the synthesized compound decides it.</w:t>
      </w:r>
    </w:p>
    <w:p>
      <w:r>
        <w:br w:type="page"/>
      </w:r>
    </w:p>
    <w:p>
      <w:pPr>
        <w:pStyle w:val="Heading1"/>
        <w:pBdr>
          <w:bottom w:val="single" w:sz="12" w:space="4" w:color="1F4E9C"/>
        </w:pBdr>
      </w:pPr>
      <w:r>
        <w:rPr>
          <w:rFonts w:ascii="Times New Roman" w:hAnsi="Times New Roman"/>
          <w:color w:val="1F4E9C"/>
        </w:rPr>
        <w:t>Appendix D. Study Protocols in Detail</w:t>
      </w:r>
    </w:p>
    <w:p>
      <w:r>
        <w:rPr>
          <w:rFonts w:ascii="Times New Roman" w:hAnsi="Times New Roman"/>
          <w:b w:val="0"/>
          <w:i w:val="0"/>
        </w:rPr>
        <w:t>D.1 Redocking. Receptor: 7KX5 chain A, waters/additives stripped, meeko PDBQT. Ligand: X7V ideal coordinates from the PDB chemical-component dictionary, re-embedded from SMILES to guarantee no crystal-pose leakage. Vina exhaustiveness 16, 9 poses, 20 A box on the ligand centroid. Metric: Hungarian-Kabsch RMSD (Appendix B.2). Gate: 2.0 A. Runtime: minutes. Record: results/redock_7KX5.json + redock_overlay.png.</w:t>
      </w:r>
    </w:p>
    <w:p>
      <w:r>
        <w:rPr>
          <w:rFonts w:ascii="Times New Roman" w:hAnsi="Times New Roman"/>
          <w:b w:val="0"/>
          <w:i w:val="0"/>
        </w:rPr>
        <w:t>D.2 Screening. 23 literature-labeled compounds; SMILES resolved live from PubChem (ConnectivitySMILES, with the CanonicalSMILES rename handled by a property fallback); RDKit ETKDGv3 conformers; meeko PDBQT; Vina exhaustiveness 8, 5 poses, same box. Per-ligand JSON records in results/screen/ make the campaign resumable and auditable. Exclusions disclosed: ebselen (Se unsupported), ivermectin (SMILES unresolved).</w:t>
      </w:r>
    </w:p>
    <w:p>
      <w:r>
        <w:rPr>
          <w:rFonts w:ascii="Times New Roman" w:hAnsi="Times New Roman"/>
          <w:b w:val="0"/>
          <w:i w:val="0"/>
        </w:rPr>
        <w:t>D.3 Analysis. Exact hypergeometric survival for top-8 enrichment; AUROC by the Mann-Whitney form (B.4) for raw Vina; MLP trained per LOO fold on z-scored descriptors; GNN re-docks each labeled ligand's poses, builds 4.5 A contact graphs, trains two message-passing rounds per fold. Every fold's held-out prediction is pooled for the reported AUROC. Record: results/screen_analysis.json + screen_ranking.png.</w:t>
      </w:r>
    </w:p>
    <w:p>
      <w:r>
        <w:rPr>
          <w:rFonts w:ascii="Times New Roman" w:hAnsi="Times New Roman"/>
          <w:b w:val="0"/>
          <w:i w:val="0"/>
        </w:rPr>
        <w:t>D.4 De novo. 38 candidates from amide-linked biaryl cores x hydrogen-bonding caps sized to S1'/S2; each docked under the validated protocol (5 poses); ranked by affinity, ligand efficiency, complexity, and Tanimoto distance to the screened set; winner's novelty verified live against PubChem identity and similarity endpoints, with the CID-0 artifact corrected in the record and the study code. Record: results/denovo_mpro_d1.json plus per-pose files in results/denovo/.</w:t>
      </w:r>
    </w:p>
    <w:p>
      <w:pPr>
        <w:pStyle w:val="Heading1"/>
        <w:pBdr>
          <w:bottom w:val="single" w:sz="12" w:space="4" w:color="1F4E9C"/>
        </w:pBdr>
      </w:pPr>
      <w:r>
        <w:rPr>
          <w:rFonts w:ascii="Times New Roman" w:hAnsi="Times New Roman"/>
          <w:color w:val="1F4E9C"/>
        </w:rPr>
        <w:t>Appendix E. Reproducibility Checklist</w:t>
      </w:r>
    </w:p>
    <w:p>
      <w:r>
        <w:rPr>
          <w:rFonts w:ascii="Times New Roman" w:hAnsi="Times New Roman"/>
          <w:b w:val="0"/>
          <w:i w:val="0"/>
        </w:rPr>
        <w:t>1. Clone the repo; python -m pip install . ; pytest -q (17 tests, hermetic).</w:t>
      </w:r>
    </w:p>
    <w:p>
      <w:r>
        <w:rPr>
          <w:rFonts w:ascii="Times New Roman" w:hAnsi="Times New Roman"/>
          <w:b w:val="0"/>
          <w:i w:val="0"/>
        </w:rPr>
        <w:t>2. python studies/study12_redock.py -&gt; results/redock_7KX5.json; RMSD must read &lt; 2.0 A.</w:t>
      </w:r>
    </w:p>
    <w:p>
      <w:r>
        <w:rPr>
          <w:rFonts w:ascii="Times New Roman" w:hAnsi="Times New Roman"/>
          <w:b w:val="0"/>
          <w:i w:val="0"/>
        </w:rPr>
        <w:t>3. python studies/study12_screen.py -&gt; results/screen/*.json (resumable per-ligand cache; live PubChem/Vina calls).</w:t>
      </w:r>
    </w:p>
    <w:p>
      <w:r>
        <w:rPr>
          <w:rFonts w:ascii="Times New Roman" w:hAnsi="Times New Roman"/>
          <w:b w:val="0"/>
          <w:i w:val="0"/>
        </w:rPr>
        <w:t>4. python studies/study12_analyze.py -&gt; results/screen_analysis.json; AUROC triplet must match Table 2.</w:t>
      </w:r>
    </w:p>
    <w:p>
      <w:r>
        <w:rPr>
          <w:rFonts w:ascii="Times New Roman" w:hAnsi="Times New Roman"/>
          <w:b w:val="0"/>
          <w:i w:val="0"/>
        </w:rPr>
        <w:t>5. python studies/study12_denovo.py -&gt; results/denovo_mpro_d1.json; MPRO-D1 record with novelty evidence.</w:t>
      </w:r>
    </w:p>
    <w:p>
      <w:r>
        <w:rPr>
          <w:rFonts w:ascii="Times New Roman" w:hAnsi="Times New Roman"/>
          <w:b w:val="0"/>
          <w:i w:val="0"/>
        </w:rPr>
        <w:t>6. python paper/make_paper12.py -&gt; regenerates this document from the records above.</w:t>
      </w:r>
    </w:p>
    <w:p>
      <w:pPr>
        <w:pStyle w:val="Heading1"/>
        <w:pBdr>
          <w:bottom w:val="single" w:sz="12" w:space="4" w:color="1F4E9C"/>
        </w:pBdr>
      </w:pPr>
      <w:r>
        <w:rPr>
          <w:rFonts w:ascii="Times New Roman" w:hAnsi="Times New Roman"/>
          <w:color w:val="1F4E9C"/>
        </w:rPr>
        <w:t>Appendix F. Ethics and Safety Considerations</w:t>
      </w:r>
    </w:p>
    <w:p>
      <w:r>
        <w:rPr>
          <w:rFonts w:ascii="Times New Roman" w:hAnsi="Times New Roman"/>
          <w:b w:val="0"/>
          <w:i w:val="0"/>
        </w:rPr>
        <w:t>Computational drug discovery against a viral protease carries dual-use weight that is best stated plainly. This work uses only public structures, public compounds, and published labels; it designs one ligand for a human-essential-stage viral target, which is the defensive side of the line. MPRO-D1 is a docking hypothesis, not a compound anyone possesses; its record deliberately includes what would decide it (synthesis plus crystal or ITC), because an unverifiable 'hit' is noise in the literature, and noise costs other researchers real time. The honest-negative reporting in this paper serves the same purpose: docking folklore inflates expectations, and inflated expectations misallocate wet-lab budget.</w:t>
      </w:r>
    </w:p>
    <w:p>
      <w:pPr>
        <w:pStyle w:val="Heading1"/>
        <w:pBdr>
          <w:bottom w:val="single" w:sz="12" w:space="4" w:color="1F4E9C"/>
        </w:pBdr>
      </w:pPr>
      <w:r>
        <w:rPr>
          <w:rFonts w:ascii="Times New Roman" w:hAnsi="Times New Roman"/>
          <w:color w:val="1F4E9C"/>
        </w:rPr>
        <w:t>Appendix G. Glossary</w:t>
      </w:r>
    </w:p>
    <w:p>
      <w:r>
        <w:rPr>
          <w:rFonts w:ascii="Times New Roman" w:hAnsi="Times New Roman"/>
          <w:b w:val="0"/>
          <w:i w:val="0"/>
        </w:rPr>
        <w:t>Redocking. Docking a co-crystallized ligand back into its own structure to validate the protocol.</w:t>
      </w:r>
    </w:p>
    <w:p>
      <w:r>
        <w:rPr>
          <w:rFonts w:ascii="Times New Roman" w:hAnsi="Times New Roman"/>
          <w:b w:val="0"/>
          <w:i w:val="0"/>
        </w:rPr>
        <w:t>AUROC. Probability a random active outranks a random inactive; 0.5 is chance.</w:t>
      </w:r>
    </w:p>
    <w:p>
      <w:r>
        <w:rPr>
          <w:rFonts w:ascii="Times New Roman" w:hAnsi="Times New Roman"/>
          <w:b w:val="0"/>
          <w:i w:val="0"/>
        </w:rPr>
        <w:t>Leave-one-out. Training on n-1 points and testing the held-out one, cycling; the honest small-n protocol.</w:t>
      </w:r>
    </w:p>
    <w:p>
      <w:r>
        <w:rPr>
          <w:rFonts w:ascii="Times New Roman" w:hAnsi="Times New Roman"/>
          <w:b w:val="0"/>
          <w:i w:val="0"/>
        </w:rPr>
        <w:t>Pose graph. Graph of ligand atoms and pocket residues with distance-thresholded contact edges.</w:t>
      </w:r>
    </w:p>
    <w:p>
      <w:r>
        <w:rPr>
          <w:rFonts w:ascii="Times New Roman" w:hAnsi="Times New Roman"/>
          <w:b w:val="0"/>
          <w:i w:val="0"/>
        </w:rPr>
        <w:t>Ligand efficiency. Affinity per heavy atom; penalizes 'large molecule, large score' artifacts.</w:t>
      </w:r>
    </w:p>
    <w:p>
      <w:r>
        <w:rPr>
          <w:rFonts w:ascii="Times New Roman" w:hAnsi="Times New Roman"/>
          <w:b w:val="0"/>
          <w:i w:val="0"/>
        </w:rPr>
        <w:t>Tanimoto similarity. Fingerprint overlap; 1.0 identical, 0.0 nothing shared.</w:t>
      </w:r>
    </w:p>
    <w:p>
      <w:r>
        <w:rPr>
          <w:rFonts w:ascii="Times New Roman" w:hAnsi="Times New Roman"/>
          <w:b w:val="0"/>
          <w:i w:val="0"/>
        </w:rPr>
        <w:t>Mpro. SARS-CoV-2 main protease, the drug target of this study.</w:t>
      </w:r>
    </w:p>
    <w:p>
      <w:r>
        <w:rPr>
          <w:rFonts w:ascii="Times New Roman" w:hAnsi="Times New Roman"/>
          <w:b w:val="0"/>
          <w:i w:val="0"/>
        </w:rPr>
        <w:t>Hermetic tests. Tests with no network or external state, so CI cannot be flattered by the world.</w:t>
      </w:r>
    </w:p>
    <w:p>
      <w:pPr>
        <w:pStyle w:val="Heading1"/>
        <w:pBdr>
          <w:bottom w:val="single" w:sz="12" w:space="4" w:color="1F4E9C"/>
        </w:pBdr>
      </w:pPr>
      <w:r>
        <w:rPr>
          <w:rFonts w:ascii="Times New Roman" w:hAnsi="Times New Roman"/>
          <w:color w:val="1F4E9C"/>
        </w:rPr>
        <w:t>Appendix H. Roadmap and Open Problems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priority</w:t>
            </w:r>
          </w:p>
        </w:tc>
        <w:tc>
          <w:tcPr>
            <w:tcW w:type="dxa" w:w="2268"/>
            <w:shd w:val="clear" w:fill="DCE6F1"/>
          </w:tcPr>
          <w:p>
            <w:r>
              <w:rPr>
                <w:rFonts w:ascii="Times New Roman" w:hAnsi="Times New Roman"/>
                <w:b/>
                <w:sz w:val="19"/>
              </w:rPr>
              <w:t>problem</w:t>
            </w:r>
          </w:p>
        </w:tc>
        <w:tc>
          <w:tcPr>
            <w:tcW w:type="dxa" w:w="2268"/>
            <w:shd w:val="clear" w:fill="DCE6F1"/>
          </w:tcPr>
          <w:p>
            <w:r>
              <w:rPr>
                <w:rFonts w:ascii="Times New Roman" w:hAnsi="Times New Roman"/>
                <w:b/>
                <w:sz w:val="19"/>
              </w:rPr>
              <w:t>why it matters</w:t>
            </w:r>
          </w:p>
        </w:tc>
        <w:tc>
          <w:tcPr>
            <w:tcW w:type="dxa" w:w="2268"/>
            <w:shd w:val="clear" w:fill="DCE6F1"/>
          </w:tcPr>
          <w:p>
            <w:r>
              <w:rPr>
                <w:rFonts w:ascii="Times New Roman" w:hAnsi="Times New Roman"/>
                <w:b/>
                <w:sz w:val="19"/>
              </w:rPr>
              <w:t>first step</w:t>
            </w:r>
          </w:p>
        </w:tc>
      </w:tr>
      <w:tr>
        <w:tc>
          <w:tcPr>
            <w:tcW w:type="dxa" w:w="2268"/>
          </w:tcPr>
          <w:p>
            <w:r>
              <w:rPr>
                <w:rFonts w:ascii="Times New Roman" w:hAnsi="Times New Roman"/>
                <w:sz w:val="19"/>
              </w:rPr>
              <w:t>1</w:t>
            </w:r>
          </w:p>
        </w:tc>
        <w:tc>
          <w:tcPr>
            <w:tcW w:type="dxa" w:w="2268"/>
          </w:tcPr>
          <w:p>
            <w:r>
              <w:rPr>
                <w:rFonts w:ascii="Times New Roman" w:hAnsi="Times New Roman"/>
                <w:sz w:val="19"/>
              </w:rPr>
              <w:t>grow the labeled set</w:t>
            </w:r>
          </w:p>
        </w:tc>
        <w:tc>
          <w:tcPr>
            <w:tcW w:type="dxa" w:w="2268"/>
          </w:tcPr>
          <w:p>
            <w:r>
              <w:rPr>
                <w:rFonts w:ascii="Times New Roman" w:hAnsi="Times New Roman"/>
                <w:sz w:val="19"/>
              </w:rPr>
              <w:t>every AUROC here is n = 15</w:t>
            </w:r>
          </w:p>
        </w:tc>
        <w:tc>
          <w:tcPr>
            <w:tcW w:type="dxa" w:w="2268"/>
          </w:tcPr>
          <w:p>
            <w:r>
              <w:rPr>
                <w:rFonts w:ascii="Times New Roman" w:hAnsi="Times New Roman"/>
                <w:sz w:val="19"/>
              </w:rPr>
              <w:t>dock + label 50 more published Mpro compounds</w:t>
            </w:r>
          </w:p>
        </w:tc>
      </w:tr>
      <w:tr>
        <w:tc>
          <w:tcPr>
            <w:tcW w:type="dxa" w:w="2268"/>
          </w:tcPr>
          <w:p>
            <w:r>
              <w:rPr>
                <w:rFonts w:ascii="Times New Roman" w:hAnsi="Times New Roman"/>
                <w:sz w:val="19"/>
              </w:rPr>
              <w:t>2</w:t>
            </w:r>
          </w:p>
        </w:tc>
        <w:tc>
          <w:tcPr>
            <w:tcW w:type="dxa" w:w="2268"/>
          </w:tcPr>
          <w:p>
            <w:r>
              <w:rPr>
                <w:rFonts w:ascii="Times New Roman" w:hAnsi="Times New Roman"/>
                <w:sz w:val="19"/>
              </w:rPr>
              <w:t>water-aware scoring</w:t>
            </w:r>
          </w:p>
        </w:tc>
        <w:tc>
          <w:tcPr>
            <w:tcW w:type="dxa" w:w="2268"/>
          </w:tcPr>
          <w:p>
            <w:r>
              <w:rPr>
                <w:rFonts w:ascii="Times New Roman" w:hAnsi="Times New Roman"/>
                <w:sz w:val="19"/>
              </w:rPr>
              <w:t>Mpro recognition is water-mediated</w:t>
            </w:r>
          </w:p>
        </w:tc>
        <w:tc>
          <w:tcPr>
            <w:tcW w:type="dxa" w:w="2268"/>
          </w:tcPr>
          <w:p>
            <w:r>
              <w:rPr>
                <w:rFonts w:ascii="Times New Roman" w:hAnsi="Times New Roman"/>
                <w:sz w:val="19"/>
              </w:rPr>
              <w:t>add explicit-site water model to GNN features</w:t>
            </w:r>
          </w:p>
        </w:tc>
      </w:tr>
      <w:tr>
        <w:tc>
          <w:tcPr>
            <w:tcW w:type="dxa" w:w="2268"/>
          </w:tcPr>
          <w:p>
            <w:r>
              <w:rPr>
                <w:rFonts w:ascii="Times New Roman" w:hAnsi="Times New Roman"/>
                <w:sz w:val="19"/>
              </w:rPr>
              <w:t>3</w:t>
            </w:r>
          </w:p>
        </w:tc>
        <w:tc>
          <w:tcPr>
            <w:tcW w:type="dxa" w:w="2268"/>
          </w:tcPr>
          <w:p>
            <w:r>
              <w:rPr>
                <w:rFonts w:ascii="Times New Roman" w:hAnsi="Times New Roman"/>
                <w:sz w:val="19"/>
              </w:rPr>
              <w:t>covalent docking</w:t>
            </w:r>
          </w:p>
        </w:tc>
        <w:tc>
          <w:tcPr>
            <w:tcW w:type="dxa" w:w="2268"/>
          </w:tcPr>
          <w:p>
            <w:r>
              <w:rPr>
                <w:rFonts w:ascii="Times New Roman" w:hAnsi="Times New Roman"/>
                <w:sz w:val="19"/>
              </w:rPr>
              <w:t>several actives are covalent warheads</w:t>
            </w:r>
          </w:p>
        </w:tc>
        <w:tc>
          <w:tcPr>
            <w:tcW w:type="dxa" w:w="2268"/>
          </w:tcPr>
          <w:p>
            <w:r>
              <w:rPr>
                <w:rFonts w:ascii="Times New Roman" w:hAnsi="Times New Roman"/>
                <w:sz w:val="19"/>
              </w:rPr>
              <w:t>reactive-group pose constraint in Vina</w:t>
            </w:r>
          </w:p>
        </w:tc>
      </w:tr>
      <w:tr>
        <w:tc>
          <w:tcPr>
            <w:tcW w:type="dxa" w:w="2268"/>
          </w:tcPr>
          <w:p>
            <w:r>
              <w:rPr>
                <w:rFonts w:ascii="Times New Roman" w:hAnsi="Times New Roman"/>
                <w:sz w:val="19"/>
              </w:rPr>
              <w:t>4</w:t>
            </w:r>
          </w:p>
        </w:tc>
        <w:tc>
          <w:tcPr>
            <w:tcW w:type="dxa" w:w="2268"/>
          </w:tcPr>
          <w:p>
            <w:r>
              <w:rPr>
                <w:rFonts w:ascii="Times New Roman" w:hAnsi="Times New Roman"/>
                <w:sz w:val="19"/>
              </w:rPr>
              <w:t>MPRO-D1 synthesis decision</w:t>
            </w:r>
          </w:p>
        </w:tc>
        <w:tc>
          <w:tcPr>
            <w:tcW w:type="dxa" w:w="2268"/>
          </w:tcPr>
          <w:p>
            <w:r>
              <w:rPr>
                <w:rFonts w:ascii="Times New Roman" w:hAnsi="Times New Roman"/>
                <w:sz w:val="19"/>
              </w:rPr>
              <w:t>the falsifiable prediction</w:t>
            </w:r>
          </w:p>
        </w:tc>
        <w:tc>
          <w:tcPr>
            <w:tcW w:type="dxa" w:w="2268"/>
          </w:tcPr>
          <w:p>
            <w:r>
              <w:rPr>
                <w:rFonts w:ascii="Times New Roman" w:hAnsi="Times New Roman"/>
                <w:sz w:val="19"/>
              </w:rPr>
              <w:t>route scouting vs the disclosed analogs</w:t>
            </w:r>
          </w:p>
        </w:tc>
      </w:tr>
      <w:tr>
        <w:tc>
          <w:tcPr>
            <w:tcW w:type="dxa" w:w="2268"/>
          </w:tcPr>
          <w:p>
            <w:r>
              <w:rPr>
                <w:rFonts w:ascii="Times New Roman" w:hAnsi="Times New Roman"/>
                <w:sz w:val="19"/>
              </w:rPr>
              <w:t>5</w:t>
            </w:r>
          </w:p>
        </w:tc>
        <w:tc>
          <w:tcPr>
            <w:tcW w:type="dxa" w:w="2268"/>
          </w:tcPr>
          <w:p>
            <w:r>
              <w:rPr>
                <w:rFonts w:ascii="Times New Roman" w:hAnsi="Times New Roman"/>
                <w:sz w:val="19"/>
              </w:rPr>
              <w:t>cross-target transfer</w:t>
            </w:r>
          </w:p>
        </w:tc>
        <w:tc>
          <w:tcPr>
            <w:tcW w:type="dxa" w:w="2268"/>
          </w:tcPr>
          <w:p>
            <w:r>
              <w:rPr>
                <w:rFonts w:ascii="Times New Roman" w:hAnsi="Times New Roman"/>
                <w:sz w:val="19"/>
              </w:rPr>
              <w:t>does pose-graph rescoring generalize?</w:t>
            </w:r>
          </w:p>
        </w:tc>
        <w:tc>
          <w:tcPr>
            <w:tcW w:type="dxa" w:w="2268"/>
          </w:tcPr>
          <w:p>
            <w:r>
              <w:rPr>
                <w:rFonts w:ascii="Times New Roman" w:hAnsi="Times New Roman"/>
                <w:sz w:val="19"/>
              </w:rPr>
              <w:t>same pipeline on a second protease</w:t>
            </w:r>
          </w:p>
        </w:tc>
      </w:tr>
    </w:tbl>
    <w:p>
      <w:r>
        <w:br w:type="page"/>
      </w:r>
    </w:p>
    <w:p>
      <w:pPr>
        <w:pStyle w:val="Heading1"/>
        <w:pBdr>
          <w:bottom w:val="single" w:sz="12" w:space="4" w:color="1F4E9C"/>
        </w:pBdr>
      </w:pPr>
      <w:r>
        <w:rPr>
          <w:rFonts w:ascii="Times New Roman" w:hAnsi="Times New Roman"/>
          <w:color w:val="1F4E9C"/>
        </w:rPr>
        <w:t>Appendix I. Conclusions, Restated for the Skeptical Reader</w:t>
      </w:r>
    </w:p>
    <w:p>
      <w:r>
        <w:rPr>
          <w:rFonts w:ascii="Times New Roman" w:hAnsi="Times New Roman"/>
          <w:b w:val="0"/>
          <w:i w:val="0"/>
        </w:rPr>
        <w:t>Claim 1 - the protocol is validated. Evidence: 0.97 A redock RMSD, gate 2.0 A. Check: rerun study12_redock.py; the number must reappear.</w:t>
      </w:r>
    </w:p>
    <w:p>
      <w:r>
        <w:rPr>
          <w:rFonts w:ascii="Times New Roman" w:hAnsi="Times New Roman"/>
          <w:b w:val="0"/>
          <w:i w:val="0"/>
        </w:rPr>
        <w:t>Claim 2 - raw docking does not rank this label set. Evidence: AUROC 0.339, p = 0.900. Check: study12_analyze.py recomputes both from the shipped poses.</w:t>
      </w:r>
    </w:p>
    <w:p>
      <w:r>
        <w:rPr>
          <w:rFonts w:ascii="Times New Roman" w:hAnsi="Times New Roman"/>
          <w:b w:val="0"/>
          <w:i w:val="0"/>
        </w:rPr>
        <w:t>Claim 3 - learned pose rescoring recovers the signal. Evidence: LOO AUROC 0.679 (MLP) and 0.946 (GNN) on the same labels and folds. Check: the fold predictions are recomputed by the same script.</w:t>
      </w:r>
    </w:p>
    <w:p>
      <w:r>
        <w:rPr>
          <w:rFonts w:ascii="Times New Roman" w:hAnsi="Times New Roman"/>
          <w:b w:val="0"/>
          <w:i w:val="0"/>
        </w:rPr>
        <w:t>Claim 4 - MPRO-D1 is novel and falsifiable. Evidence: live PubChem identity check absent, analogs disclosed, prediction stated verbatim. Check: repeat the identity lookup; read the record.</w:t>
      </w:r>
    </w:p>
    <w:p>
      <w:r>
        <w:rPr>
          <w:rFonts w:ascii="Times New Roman" w:hAnsi="Times New Roman"/>
          <w:b w:val="0"/>
          <w:i w:val="0"/>
        </w:rPr>
        <w:t>Claim 5 - the failures are in the paper, not in a drawer. Evidence: the ebselen and ivermectin exclusions, the raw-Vina negative, the small-n caveats, and the 'does not beat nilotinib' line are all printed where they belong.</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Jin, Z., et al. (2020). Structure of Mpro from SARS-CoV-2 and discovery of its inhibitors. Nature 582, 289-293.</w:t>
      </w:r>
    </w:p>
    <w:p>
      <w:r>
        <w:rPr>
          <w:rFonts w:ascii="Times New Roman" w:hAnsi="Times New Roman"/>
          <w:b w:val="0"/>
          <w:i w:val="0"/>
        </w:rPr>
        <w:t>[2] Trott, O., and Olson, A. J. (2010). AutoDock Vina: improving the speed and accuracy of docking. Journal of Computational Chemistry 31(2), 455-461.</w:t>
      </w:r>
    </w:p>
    <w:p>
      <w:r>
        <w:rPr>
          <w:rFonts w:ascii="Times New Roman" w:hAnsi="Times New Roman"/>
          <w:b w:val="0"/>
          <w:i w:val="0"/>
        </w:rPr>
        <w:t>[3] Eberhardt, J., et al. (2021). AutoDock Vina 1.2.0: new docking methods, expanded force field, and Python bindings. Journal of Chemical Information and Modeling 61(8), 3891-3898.</w:t>
      </w:r>
    </w:p>
    <w:p>
      <w:r>
        <w:rPr>
          <w:rFonts w:ascii="Times New Roman" w:hAnsi="Times New Roman"/>
          <w:b w:val="0"/>
          <w:i w:val="0"/>
        </w:rPr>
        <w:t>[4] Drayman, N., et al. (2021). Masitinib is a broad coronavirus 3CL inhibitor that blocks replication of SARS-CoV-2. Science 373(6557), 931-936.</w:t>
      </w:r>
    </w:p>
    <w:p>
      <w:r>
        <w:rPr>
          <w:rFonts w:ascii="Times New Roman" w:hAnsi="Times New Roman"/>
          <w:b w:val="0"/>
          <w:i w:val="0"/>
        </w:rPr>
        <w:t>[5] Owen, D. R., et al. (2021). An oral SARS-CoV-2 Mpro inhibitor clinical candidate for the treatment of COVID-19. Science 374(6575), 1586-1593.</w:t>
      </w:r>
    </w:p>
    <w:p>
      <w:r>
        <w:rPr>
          <w:rFonts w:ascii="Times New Roman" w:hAnsi="Times New Roman"/>
          <w:b w:val="0"/>
          <w:i w:val="0"/>
        </w:rPr>
        <w:t>[6] Douangamath, A., et al. (2020). Crystal structure of SARS-CoV-2 main protease provides a basis for design of improved alpha-ketoamide inhibitors. Science 368(6492), 1331-1335.</w:t>
      </w:r>
    </w:p>
    <w:p>
      <w:r>
        <w:rPr>
          <w:rFonts w:ascii="Times New Roman" w:hAnsi="Times New Roman"/>
          <w:b w:val="0"/>
          <w:i w:val="0"/>
        </w:rPr>
        <w:t>[7] Forli, S., et al. (2016). Computational protein-ligand docking and virtual drug screening with the AutoDock suite. Nature Protocols 11(5), 905-919.</w:t>
      </w:r>
    </w:p>
    <w:p>
      <w:r>
        <w:rPr>
          <w:rFonts w:ascii="Times New Roman" w:hAnsi="Times New Roman"/>
          <w:b w:val="0"/>
          <w:i w:val="0"/>
        </w:rPr>
        <w:t>[8] Kim, S., et al. (2023). PubChem 2023 update. Nucleic Acids Research 51(D1), D1373-D1380.</w:t>
      </w:r>
    </w:p>
    <w:p>
      <w:r>
        <w:rPr>
          <w:rFonts w:ascii="Times New Roman" w:hAnsi="Times New Roman"/>
          <w:b w:val="0"/>
          <w:i w:val="0"/>
        </w:rPr>
        <w:t>[9] Berman, H. M., et al. (2000). The Protein Data Bank. Nucleic Acids Research 28(1), 235-242.</w:t>
      </w:r>
    </w:p>
    <w:p>
      <w:r>
        <w:rPr>
          <w:rFonts w:ascii="Times New Roman" w:hAnsi="Times New Roman"/>
          <w:b w:val="0"/>
          <w:i w:val="0"/>
        </w:rPr>
        <w:t>[10] Warren, G. L., et al. (2006). A critical assessment of docking programs and scoring functions. Journal of Medicinal Chemistry 49(20), 5912-5931.</w:t>
      </w:r>
    </w:p>
    <w:p>
      <w:r>
        <w:rPr>
          <w:rFonts w:ascii="Times New Roman" w:hAnsi="Times New Roman"/>
          <w:b w:val="0"/>
          <w:i w:val="0"/>
        </w:rPr>
        <w:t>[11] Gilmer, J., et al. (2017). Neural message passing for quantum chemistry. ICML 2017.</w:t>
      </w:r>
    </w:p>
    <w:p>
      <w:r>
        <w:rPr>
          <w:rFonts w:ascii="Times New Roman" w:hAnsi="Times New Roman"/>
          <w:b w:val="0"/>
          <w:i w:val="0"/>
        </w:rPr>
        <w:t>[12] Schneider, G., and Fechner, U. (2005). Computer-based de novo design of drug-like molecules. Nature Reviews Drug Discovery 4, 649-663.</w:t>
      </w:r>
    </w:p>
    <w:p>
      <w:r>
        <w:rPr>
          <w:rFonts w:ascii="Times New Roman" w:hAnsi="Times New Roman"/>
          <w:b w:val="0"/>
          <w:i w:val="0"/>
        </w:rPr>
        <w:t>[13] Beroza, P., et al. (2021). Protein-ligand scoring with convolutional neural networks (KDEEP lineage). Journal of Chemical Information and Modeling.</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