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and the limitations - rigid receptor, no covalency, n = 15 labeled compounds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n~65 extended screen now running is the verdict that matters; until it lands, every GNN number in this paper should be read with this correction attached. The 0.946 figure is withdrawn.</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recovery curve (0.34 -&gt; 0.68 -&gt; 0.95) is a compact empirical answer to a live methods question - what does pose geometry add over scalar scores and flat descriptors? - measured on one target with one protocol.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label set is small (15 labeled compounds) and literature labels carry assay heterogeneity; every AUROC here inherits that width.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github.com/uditakankananonononono/mega27-12-3d-drug-discovery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