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among the 15 labeled compounds (unlabeled ligands excluded)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 (of the labeled compounds)</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Native covalent docking (12A): corrected analysis and the measurement defect</w:t>
      </w:r>
    </w:p>
    <w:p>
      <w:r>
        <w:rPr>
          <w:rFonts w:ascii="Times New Roman" w:hAnsi="Times New Roman"/>
          <w:b w:val="0"/>
          <w:i w:val="0"/>
        </w:rPr>
        <w:t>After the constraint-guided route was declared machinery-exhausted, the study ran its remaining preregistered route under a new dated preregistration: the official AutoDock-GPU v1.6 covalent (reactive) docking channel, built from the upstream source with DEVICE=CPU and run on the POCL 1.8 CPU OpenCL stack (work-group method cbs; the default method crashed in the evolution loop, including in a non-covalent control). Four integrity gates passed for both complexes before any docking. The 12-job queue (two covalent complexes, 7VH8 and 7C6S; standard C1 and reactive C2 arms; three seeds each) completed with every job rc=0 and no timeouts. The locked criterion was a best-energy-pose, symmetry-corrected RMSD of 2.0 A or less to the crystal pose in at least two of three seeds, per complex.</w:t>
      </w:r>
    </w:p>
    <w:p>
      <w:r>
        <w:rPr>
          <w:rFonts w:ascii="Times New Roman" w:hAnsi="Times New Roman"/>
          <w:b w:val="0"/>
          <w:i w:val="0"/>
        </w:rPr>
        <w:t>Corrected post-hoc reanalysis. A follow-up setup audit found a defect in the RMSD code: docked poses were indexed by PDBQT atom serial but matched to the crystal through the SDF atom index, and the two orders differ (verified by exact coordinate identity, 35 of 35 and 37 of 37 heavy atoms). The integrity gates used the same convention and so could not detect it. With the mapping corrected by coordinate identity, and thresholds, criterion and docking outputs unchanged, the best-energy-pose RMSDs are: 7VH8 C1 1.16 / 1.33 / 1.52 A and 7VH8 C2 1.40 / 1.18 / 1.18 A (every seed passes, both arms); 7C6S C1 2.88 / 1.17 / 1.66 A (two of three seeds pass) and 7C6S C2 2.50 / 4.48 / 2.73 A (none pass). Under the locked criterion the reactive channel therefore reproduces the crystal pose for 7VH8 and not for 7C6S, a mixed outcome. Pooled over all 30 sampled poses, the minimum RMSD is 1.16 and 1.17 A for 7VH8 (C1, C2), 1.17 A for 7C6S C1 and 2.50 A for 7C6S C2. The 7VH8 positive does not depend on the search box; for 7C6S, one crystal ligand atom lies 0.27 A outside the 24 A box, which may bear on its C2 result and was not tested.</w:t>
      </w:r>
    </w:p>
    <w:p>
      <w:r>
        <w:rPr>
          <w:rFonts w:ascii="Times New Roman" w:hAnsi="Times New Roman"/>
          <w:b w:val="0"/>
          <w:i w:val="0"/>
        </w:rPr>
        <w:t>Superseded measurement, kept for the record. Computed with the defective mapping, the same 12 runs gave best-pose RMSDs of 5.52 to 6.56 A and a NOT SUPPORTED verdict. That analysis is retained unedited in the runlog; the corrected numbers are a post-hoc reanalysis of a measurement defect, not a threshold change. The October 2 close-out decision retains both the original verdict and corrected analysis with the defect disclosed; neither is silently substituted for the other. The same defect was checked in the constraint-guided branch: re-scoring all 18 AD4 poses with the corrected mapping leaves every RMSD above 6.9 A, so that branch's machinery-exhausted outcome is unchanged. Provenance, gates and per-seed numbers are in the runlog, results/native_covalent_12a.json and results/native_covalent_12d_remap.json.</w:t>
      </w:r>
    </w:p>
    <w:p>
      <w:r>
        <w:rPr>
          <w:rFonts w:ascii="Times New Roman" w:hAnsi="Times New Roman"/>
          <w:b w:val="0"/>
          <w:i w:val="0"/>
        </w:rPr>
        <w:t>Follow-up audit (12E, preregistered 2026-10-07 before any score was read): the 7C6S crystal-in-grid anomaly from the D5 diagnostic deconfounds into geometry and containment. Scoring the committed D5 crystal-fit pose (Pose A) and an exact-crystal-coordinate pose (Pose B, matched atoms at crystal coordinates, RMSD 0.0) against the original 24 A maps and minimally expanded maps (same receptor, spacing and center; 72 points for 7C6S, 68 for 7VH8, by a pre-locked 1.0 A margin rule) gives epdb intermolecular energies of 18.80 and 18.80 kcal/mol for Pose A (24 A and expanded box) versus 1.61 and -11.27 for Pose B. Under the frozen plausibility rule, only Pose B in the expanded box is plausible (worst pooled docked C1 energy -10.27 kcal/mol): the rigid-fit conformer mismatch dominates (+18.80 to +1.61 in the same box) and the single crystal atom outside the 24 A box contributes the remainder (+1.61 to -11.27). The 7VH8 paired control stayed plausible in all four arms and reproduced its D5 score exactly. The frozen classification is a joint geometry-plus-containment rescue of the D5 anomaly; it motivates a separately preregistered confirmation redock and changes no prior verdict, threshold, or result.</w:t>
      </w:r>
    </w:p>
    <w:p>
      <w:pPr>
        <w:pStyle w:val="Heading2"/>
      </w:pPr>
      <w:r>
        <w:rPr>
          <w:rFonts w:ascii="Times New Roman" w:hAnsi="Times New Roman"/>
          <w:color w:val="1F4E9C"/>
        </w:rPr>
        <w:t>12E-CR: locked confirmation of pose recovery</w:t>
      </w:r>
    </w:p>
    <w:p>
      <w:r>
        <w:rPr>
          <w:rFonts w:ascii="Times New Roman" w:hAnsi="Times New Roman"/>
          <w:b w:val="0"/>
          <w:i w:val="0"/>
        </w:rPr>
        <w:t>The preregistered confirmation redock is CONFIRMED. With exact-crystal-coordinate Pose B inputs and the expanded Box 1 maps, all three seeds pass the locked best-energy-pose heavy-atom RMSD &lt;= 2.0 A gate: 7C6S gives 1.567, 1.626 and 1.653 A; paired control 7VH8 gives 1.719, 1.039 and 0.755 A. All six runs finish successfully. RMSD uses the coordinate-identity remap without superposition; the analyzer compares full precision, not rounded display values. The required two-of-three rule was locked before outcomes, and both complexes pass three-of-three. This confirms pose recovery in this specific input/box setting, not prospective screening performance, new ligand activity or generalization beyond these structures. A workspace reset lost the earlier uncommitted outputs; the complete locked rerun is retained with per-job DLG/XML checkpoints. No lost-run measurement is pooled or inferred. Earlier defective-mapping verdicts and the separate geometry/containment audit remain in the record. Source: results/native_covalent_12e_redock.json and docs/PREREG_12E_CONFIRMATION_REDOCK_20261007.md (locked 989e2d0).</w:t>
      </w:r>
    </w:p>
    <w:p>
      <w:pPr>
        <w:pStyle w:val="Heading1"/>
        <w:pBdr>
          <w:bottom w:val="single" w:sz="12" w:space="4" w:color="1F4E9C"/>
        </w:pBdr>
      </w:pPr>
      <w:r>
        <w:rPr>
          <w:rFonts w:ascii="Times New Roman" w:hAnsi="Times New Roman"/>
          <w:color w:val="1F4E9C"/>
        </w:rPr>
        <w:t>Appendix AI.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