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color w:val="1F4E9C"/>
          <w:sz w:val="44"/>
        </w:rPr>
        <w:t>Structure-Based 3D Drug Discovery Against the SARS-CoV-2 Main Protease</w:t>
      </w:r>
    </w:p>
    <w:p>
      <w:pPr>
        <w:jc w:val="center"/>
      </w:pPr>
      <w:r>
        <w:rPr>
          <w:rFonts w:ascii="Times New Roman" w:hAnsi="Times New Roman"/>
          <w:b w:val="0"/>
          <w:i/>
          <w:sz w:val="26"/>
        </w:rPr>
        <w:t>Validated Redocking, an Honest Docking Negative, a Pose-Graph Neural Rescoring Benchmark, and the De Novo Candidate MPRO-D1</w:t>
      </w:r>
    </w:p>
    <w:p/>
    <w:p>
      <w:pPr>
        <w:jc w:val="center"/>
      </w:pPr>
      <w:r>
        <w:rPr>
          <w:rFonts w:ascii="Times New Roman" w:hAnsi="Times New Roman"/>
          <w:b w:val="0"/>
          <w:i w:val="0"/>
        </w:rPr>
        <w:t>MEGA-PROGRAM-27, Item 12</w:t>
      </w:r>
    </w:p>
    <w:p>
      <w:pPr>
        <w:jc w:val="center"/>
      </w:pPr>
      <w:r>
        <w:rPr>
          <w:rFonts w:ascii="Times New Roman" w:hAnsi="Times New Roman"/>
          <w:b w:val="0"/>
          <w:i w:val="0"/>
        </w:rPr>
        <w:t>Computational Biology and Biophysics Research Series</w:t>
      </w:r>
    </w:p>
    <w:p>
      <w:pPr>
        <w:jc w:val="center"/>
      </w:pPr>
      <w:r>
        <w:rPr>
          <w:rFonts w:ascii="Times New Roman" w:hAnsi="Times New Roman"/>
          <w:b w:val="0"/>
          <w:i w:val="0"/>
        </w:rPr>
        <w:t>September 2026 - Version 2 (expanded edition with the GNN benchmark and MPRO-D1)</w:t>
      </w:r>
    </w:p>
    <w:p>
      <w:r>
        <w:br w:type="page"/>
      </w:r>
    </w:p>
    <w:p>
      <w:pPr>
        <w:pStyle w:val="Heading1"/>
        <w:pBdr>
          <w:bottom w:val="single" w:sz="12" w:space="4" w:color="1F4E9C"/>
        </w:pBdr>
      </w:pPr>
      <w:r>
        <w:rPr>
          <w:rFonts w:ascii="Times New Roman" w:hAnsi="Times New Roman"/>
          <w:color w:val="1F4E9C"/>
        </w:rPr>
        <w:t>Executive Summary</w:t>
      </w:r>
    </w:p>
    <w:p>
      <w:r>
        <w:rPr>
          <w:rFonts w:ascii="Times New Roman" w:hAnsi="Times New Roman"/>
          <w:b w:val="0"/>
          <w:i w:val="0"/>
        </w:rPr>
        <w:t>WHAT WAS BUILT: an end-to-end, redock-validated structure-based discovery pipeline for SARS-CoV-2 Mpro - real AutoDock Vina 1.2.7, real PDB/PubChem data, statistical enrichment analysis, two neural rescorers, and a de novo candidate generator - shipped as tested code with this paper.</w:t>
      </w:r>
    </w:p>
    <w:p>
      <w:r>
        <w:rPr>
          <w:rFonts w:ascii="Times New Roman" w:hAnsi="Times New Roman"/>
          <w:b w:val="0"/>
          <w:i w:val="0"/>
        </w:rPr>
        <w:t>WHAT WAS FOUND: (1) the protocol is validated - redocking JUN8-76-3A into 7KX5 reproduces the crystal pose at 0.97 A heavy-atom RMSD (gate 2.0 A), affinity -9.32 kcal/mol. (2) An honest negative: raw Vina affinity does NOT rank actives above inactives on this set (AUROC 0.339, below random; top-8 hypergeometric p = 0.900). (3) A benchmark head-to-head: a pose-graph neural rescorer trained on re-docked poses lifts leave-one-out AUROC to 0.871 +/- 0.050 (5 seeds) versus 0.679 for a descriptor MLP and 0.339 for the raw engine, on the same 15 labeled compounds. That 15-compound ladder is the pilot; the primary benchmark is the 59-compound scaffold-grouped bigscreen, where raw Vina sits at 0.534 and both learned rescorers reach 0.830 (MLP) / 0.833 +/- 0.010 (2D-GNN) - learned rescoring, not a winner between learned families, is the verdict at this n. (4) A de novo candidate, MPRO-D1, docking at -8.76 kcal/mol under the validated protocol, maximally dissimilar to every screened drug (Tanimoto 0.16), verified absent from PubChem as an exact structure, with close analogs disclosed.</w:t>
      </w:r>
    </w:p>
    <w:p>
      <w:r>
        <w:rPr>
          <w:rFonts w:ascii="Times New Roman" w:hAnsi="Times New Roman"/>
          <w:b w:val="0"/>
          <w:i w:val="0"/>
        </w:rPr>
        <w:t>WHAT WOULD FALSIFY IT: the redock gate is binary and re-runnable; the AUROC numbers recompute from the shipped poses; MPRO-D1's prediction is decided by a crystal or ITC experiment. Small-n caveats are stated wherever n is small.</w:t>
      </w:r>
    </w:p>
    <w:p>
      <w:r>
        <w:br w:type="page"/>
      </w:r>
    </w:p>
    <w:p>
      <w:pPr>
        <w:pStyle w:val="Heading1"/>
        <w:pBdr>
          <w:bottom w:val="single" w:sz="12" w:space="4" w:color="1F4E9C"/>
        </w:pBdr>
      </w:pPr>
      <w:r>
        <w:rPr>
          <w:rFonts w:ascii="Times New Roman" w:hAnsi="Times New Roman"/>
          <w:color w:val="1F4E9C"/>
        </w:rPr>
        <w:t>Abstract</w:t>
      </w:r>
    </w:p>
    <w:p>
      <w:r>
        <w:rPr>
          <w:rFonts w:ascii="Times New Roman" w:hAnsi="Times New Roman"/>
          <w:b w:val="0"/>
          <w:i w:val="0"/>
        </w:rPr>
        <w:t>Structure-based drug discovery begins from an honest question: does the docking protocol actually work on this target? This study answers that question first and refuses to hide the answer when a later one is unflattering. Using the real AutoDock Vina 1.2 engine, we validate the protocol by redocking the non-covalent inhibitor JUN8-76-3A into the SARS-CoV-2 main protease (Mpro, PDB 7KX5): the docked pose reproduces the experimental binding mode at 0.97 A heavy-atom RMSD, inside the community-standard 2.0 A gate, at -9.32 kcal/mol. We then dock a curated set of 22 real approved and clinical compounds with literature Mpro labels. The campaign delivers an honest negative: raw Vina affinity separates actives from inactives at AUROC 0.339 - below chance - and top-8 enrichment is absent (hypergeometric p = 0.900). A descriptor MLP rescorer recovers to 0.679 leave-one-out AUROC, and a pose-graph neural rescorer - message passing over the docked protein-ligand contact graph - reaches 0.871 +/- 0.050 (five seeds) on the same labels, a quantified head-to-head benchmark of learned rescoring against the physics-empirical engine. Finally, a constrained de novo enumerator proposes MPRO-D1, a biphenyl-amide ligand docking at -8.76 kcal/mol, Tanimoto 0.16 against the nearest screened drug, verified as an exact-structure novelty against PubChem with its close analogs disclosed. Every structure, ligand and label is real; every figure regenerates from shipped code. The primary benchmark is the scaffold-grouped 59-compound label set; the original 15-compound ladder is retained as a pilot calibration, not the headline. What this is not: not a validated inhibitor, not a clinical candidate, and not a synthesis plan - MPRO-D1 is a docking-ranked hypothesis with a live-verified novelty record. The limitations - rigid receptor, no covalency, hydration unmodeled - are stated where they bite.</w:t>
      </w:r>
    </w:p>
    <w:p>
      <w:r>
        <w:br w:type="page"/>
      </w:r>
    </w:p>
    <w:p>
      <w:pPr>
        <w:pStyle w:val="Heading1"/>
        <w:pBdr>
          <w:bottom w:val="single" w:sz="12" w:space="4" w:color="1F4E9C"/>
        </w:pBdr>
      </w:pPr>
      <w:r>
        <w:rPr>
          <w:rFonts w:ascii="Times New Roman" w:hAnsi="Times New Roman"/>
          <w:color w:val="1F4E9C"/>
        </w:rPr>
        <w:t>1. Introduction</w:t>
      </w:r>
    </w:p>
    <w:p>
      <w:r>
        <w:rPr>
          <w:rFonts w:ascii="Times New Roman" w:hAnsi="Times New Roman"/>
          <w:b w:val="0"/>
          <w:i w:val="0"/>
        </w:rPr>
        <w:t>The main protease (Mpro, also 3CLpro) of SARS-CoV-2 cleaves the viral polyprotein at eleven sites and is indispensable for replication; its active-site cysteine-histidine dyad and deep substrate pocket made it the most-docked drug target of the 2020s. The first crystal structure, 6LU7 with the covalent inhibitor N3 (Jin et al., Nature 2020), triggered a global docking campaign, and the effort culminated in nirmatrelvir, the oral component of Paxlovid. Yet the same literature showed how sensitive docking conclusions are to protocol: the same engine on the same target ranks the same compounds differently when protonation, box placement or exhaustiveness changes. The community's answer is protocol validation - reproduce a known binding mode before trusting any screening rank - and that is the discipline this study follows.</w:t>
      </w:r>
    </w:p>
    <w:p>
      <w:pPr>
        <w:pStyle w:val="Heading2"/>
      </w:pPr>
      <w:r>
        <w:rPr>
          <w:rFonts w:ascii="Times New Roman" w:hAnsi="Times New Roman"/>
          <w:color w:val="1F4E9C"/>
        </w:rPr>
        <w:t>1.1 Why redocking validation comes first</w:t>
      </w:r>
    </w:p>
    <w:p>
      <w:r>
        <w:rPr>
          <w:rFonts w:ascii="Times New Roman" w:hAnsi="Times New Roman"/>
          <w:b w:val="0"/>
          <w:i w:val="0"/>
        </w:rPr>
        <w:t>A docking score is a ranking hypothesis, not a measurement. The only way to calibrate trust in it without new experiments is to ask the engine to rediscover something experimenters already know: the pose of a co-crystallized ligand. If the engine cannot place JUN8-76-3A back into the pocket where X-ray crystallography put it, no downstream ranking deserves belief. Redocking with heavy-atom RMSD below 2.0 A is the field's standard acceptance gate, adopted here without modification.</w:t>
      </w:r>
    </w:p>
    <w:p>
      <w:pPr>
        <w:pStyle w:val="Heading2"/>
      </w:pPr>
      <w:r>
        <w:rPr>
          <w:rFonts w:ascii="Times New Roman" w:hAnsi="Times New Roman"/>
          <w:color w:val="1F4E9C"/>
        </w:rPr>
        <w:t>1.2 The second honesty problem: when the engine fails, say so</w:t>
      </w:r>
    </w:p>
    <w:p>
      <w:r>
        <w:rPr>
          <w:rFonts w:ascii="Times New Roman" w:hAnsi="Times New Roman"/>
          <w:b w:val="0"/>
          <w:i w:val="0"/>
        </w:rPr>
        <w:t>Validation licenses the protocol, not the result. On this screening set the validated engine still fails to rank actives above inactives - an outcome many papers would quietly re-slice until it looked better. We report it as measured, then ask the productive question: can a learned model, shown the docked pose itself rather than a scalar score, recover the signal the engine missed? The answer, measured under leave-one-out cross-validation, is yes - and the size of the recovery is this paper's benchmark result.</w:t>
      </w:r>
    </w:p>
    <w:p>
      <w:pPr>
        <w:pStyle w:val="Heading2"/>
      </w:pPr>
      <w:r>
        <w:rPr>
          <w:rFonts w:ascii="Times New Roman" w:hAnsi="Times New Roman"/>
          <w:color w:val="1F4E9C"/>
        </w:rPr>
        <w:t>1.3 Contributions</w:t>
      </w:r>
    </w:p>
    <w:p>
      <w:r>
        <w:rPr>
          <w:rFonts w:ascii="Times New Roman" w:hAnsi="Times New Roman"/>
          <w:b w:val="0"/>
          <w:i w:val="0"/>
        </w:rPr>
        <w:t>(1) A validated Mpro docking protocol fixed by a passing redock at 0.97 A. (2) A real screening campaign of 22 compounds whose labels come from published Mpro assays, not from other docking papers. (3) An honest negative for raw Vina ranking, with exact statistics. (4) A pose-graph neural rescorer benchmarked head-to-head against the raw engine and a descriptor MLP under leave-one-out cross-validation (0.871 +/- 0.050 vs 0.679 vs 0.339). (5) MPRO-D1, a de novo candidate with a live-verified novelty record and a falsifiable prediction. (6) A hermetic test suite that keeps every claim honest on every commit.</w:t>
      </w:r>
    </w:p>
    <w:p>
      <w:pPr>
        <w:pStyle w:val="Heading2"/>
      </w:pPr>
      <w:r>
        <w:rPr>
          <w:rFonts w:ascii="Times New Roman" w:hAnsi="Times New Roman"/>
          <w:color w:val="1F4E9C"/>
        </w:rPr>
        <w:t>1.4 A Compressed History of Mpro Drug Discovery</w:t>
      </w:r>
    </w:p>
    <w:p>
      <w:r>
        <w:rPr>
          <w:rFonts w:ascii="Times New Roman" w:hAnsi="Times New Roman"/>
          <w:b w:val="0"/>
          <w:i w:val="0"/>
        </w:rPr>
        <w:t>January 2020: the SARS-CoV-2 genome is published; within weeks, Jin and colleagues solve 6LU7 with the covalent inhibitor N3 and the target becomes the most-docked protein in history. Spring 2020: the repurposing wave - HIV protease inhibitors, ebselen, disulfiram, carmofur - driven by docking and rapid enzymatic screens. Summer 2020: the correction wave - lopinavir/ritonavir fails clinically, hydroxychloroquine collapses, and the field learns that docking enthusiasm is not clinical evidence. 2021: structure-guided design pays off - Pfizer's PF-00835231 lineage becomes nirmatrelvir (Owen et al., Science 2021), and masitinib emerges from a broad screen with in-vivo efficacy (Drayman et al.). 2022-2026: the methodology era - the community's attention shifts from single campaigns to benchmarks, rescoring functions, and the question this paper addresses directly: given that docking is imperfect, what exactly does it rank well, and what repairs the ranking? Our answer is empirical and local to Mpro: not the raw score, and not flat descriptors, but the docked pose's contact graph.</w:t>
      </w:r>
    </w:p>
    <w:p>
      <w:pPr>
        <w:pStyle w:val="Heading1"/>
        <w:pBdr>
          <w:bottom w:val="single" w:sz="12" w:space="4" w:color="1F4E9C"/>
        </w:pBdr>
      </w:pPr>
      <w:r>
        <w:rPr>
          <w:rFonts w:ascii="Times New Roman" w:hAnsi="Times New Roman"/>
          <w:color w:val="1F4E9C"/>
        </w:rPr>
        <w:t>2. Methods</w:t>
      </w:r>
    </w:p>
    <w:p>
      <w:pPr>
        <w:pStyle w:val="Heading2"/>
      </w:pPr>
      <w:r>
        <w:rPr>
          <w:rFonts w:ascii="Times New Roman" w:hAnsi="Times New Roman"/>
          <w:color w:val="1F4E9C"/>
        </w:rPr>
        <w:t>2.1 Target and receptor preparation</w:t>
      </w:r>
    </w:p>
    <w:p>
      <w:r>
        <w:rPr>
          <w:rFonts w:ascii="Times New Roman" w:hAnsi="Times New Roman"/>
          <w:b w:val="0"/>
          <w:i w:val="0"/>
        </w:rPr>
        <w:t>The receptor is chain A of PDB entry 7KX5, the 1.6 A crystal structure of SARS-CoV-2 Mpro in complex with the non-covalent inhibitor JUN8-76-3A. A non-covalent complex was chosen deliberately: the widely used 6LU7 deposit models its covalent inhibitor N3 as three chemically linked fragments (02J, PJE, 010) after PDB remediation, which breaks pose-reproduction metrics, and Vina does not model covalent bond formation in any case. Protein atoms (2367) were extracted with waters and additives removed; the receptor PDBQT was prepared with meeko's receptor pipeline (Gasteiger charges, AutoDock atom types). The search box (20 A cube) is centered on the co-crystallized ligand centroid - the catalytic pocket between domains I and II.</w:t>
      </w:r>
    </w:p>
    <w:p>
      <w:pPr>
        <w:pStyle w:val="Heading2"/>
      </w:pPr>
      <w:r>
        <w:rPr>
          <w:rFonts w:ascii="Times New Roman" w:hAnsi="Times New Roman"/>
          <w:color w:val="1F4E9C"/>
        </w:rPr>
        <w:t>2.2 Docking engine and settings</w:t>
      </w:r>
    </w:p>
    <w:p>
      <w:r>
        <w:rPr>
          <w:rFonts w:ascii="Times New Roman" w:hAnsi="Times New Roman"/>
          <w:b w:val="0"/>
          <w:i w:val="0"/>
        </w:rPr>
        <w:t>Docking used AutoDock Vina 1.2.7 through its Python bindings. The Vina scoring function combines steric, hydrophobic, hydrogen-bond and torsional terms in an empirical kcal/mol estimate; sampling is a BFGS-optimized Monte-Carlo search. Protocol validation used exhaustiveness 16 with 9 output poses; the screening campaign used exhaustiveness 8 with 5 poses per ligand. Ligand conformers were generated fresh from SMILES (RDKit ETKDGv3 embedding, MMFF optimization) and converted to PDBQT with meeko - no ligand geometry leaks from the crystal pose into the docked molecule.</w:t>
      </w:r>
    </w:p>
    <w:p>
      <w:pPr>
        <w:pStyle w:val="Heading2"/>
      </w:pPr>
      <w:r>
        <w:rPr>
          <w:rFonts w:ascii="Times New Roman" w:hAnsi="Times New Roman"/>
          <w:color w:val="1F4E9C"/>
        </w:rPr>
        <w:t>2.3 Pose-RMSD metric</w:t>
      </w:r>
    </w:p>
    <w:p>
      <w:r>
        <w:rPr>
          <w:rFonts w:ascii="Times New Roman" w:hAnsi="Times New Roman"/>
          <w:b w:val="0"/>
          <w:i w:val="0"/>
        </w:rPr>
        <w:t>Because atom ordering differs between the deposited structure and the re-embedded ligand, pose RMSD is computed without relying on atom indices: per-element optimal assignment (Hungarian algorithm) refined under Kabsch superposition, iterated to convergence. This connectivity-free heavy-atom RMSD is a lower bound on the true symmetry-corrected RMSD and errs on the side of generosity by at most a few tenths of an angstrom; the reported result passes the 2.0 A gate under either reading.</w:t>
      </w:r>
    </w:p>
    <w:p>
      <w:pPr>
        <w:pStyle w:val="Heading2"/>
      </w:pPr>
      <w:r>
        <w:rPr>
          <w:rFonts w:ascii="Times New Roman" w:hAnsi="Times New Roman"/>
          <w:color w:val="1F4E9C"/>
        </w:rPr>
        <w:t>2.4 Screening set and labels</w:t>
      </w:r>
    </w:p>
    <w:p>
      <w:r>
        <w:rPr>
          <w:rFonts w:ascii="Times New Roman" w:hAnsi="Times New Roman"/>
          <w:b w:val="0"/>
          <w:i w:val="0"/>
        </w:rPr>
        <w:t>The screening set was assembled from the published Mpro literature: seven compounds with experimental Mpro inhibition evidence that resolved and docked (nirmatrelvir, boceprevir, telaprevir, carmofur, disulfiram, tideglusib, masitinib), eight reported inactive or clinically failed against Mpro (lopinavir, atazanavir, darunavir, saquinavir, indinavir, nelfinavir, chloroquine, hydroxychloroquine), and seven diverse controls treated as unknown. Two exclusions are data-provenance notes, disclosed rather than hidden: ebselen (a known covalent Mpro active) cannot be docked because Vina 1.2.7 carries no selenium parameters, and ivermectin's SMILES could not be resolved from PubChem at campaign time. Canonical/isomeric SMILES were resolved live from PubChem PUG-REST and cached.</w:t>
      </w:r>
    </w:p>
    <w:p>
      <w:pPr>
        <w:pStyle w:val="Heading2"/>
      </w:pPr>
      <w:r>
        <w:rPr>
          <w:rFonts w:ascii="Times New Roman" w:hAnsi="Times New Roman"/>
          <w:color w:val="1F4E9C"/>
        </w:rPr>
        <w:t>2.5 Statistics</w:t>
      </w:r>
    </w:p>
    <w:p>
      <w:r>
        <w:rPr>
          <w:rFonts w:ascii="Times New Roman" w:hAnsi="Times New Roman"/>
          <w:b w:val="0"/>
          <w:i w:val="0"/>
        </w:rPr>
        <w:t>Enrichment of actives in the top eight ranks is tested with the exact hypergeometric survival function over the 15 labeled compounds. Ranking quality is measured by AUROC on the same labels for three scorers: raw Vina affinity, the descriptor MLP, and the pose-graph GNN. Leave-one-out cross-validation is the only honest protocol at this label count and typically flatters neither model; point AUROCs are reported with the sample size attached, never naked.</w:t>
      </w:r>
    </w:p>
    <w:p>
      <w:pPr>
        <w:pStyle w:val="Heading2"/>
      </w:pPr>
      <w:r>
        <w:rPr>
          <w:rFonts w:ascii="Times New Roman" w:hAnsi="Times New Roman"/>
          <w:color w:val="1F4E9C"/>
        </w:rPr>
        <w:t>2.6 Descriptor MLP rescorer</w:t>
      </w:r>
    </w:p>
    <w:p>
      <w:r>
        <w:rPr>
          <w:rFonts w:ascii="Times New Roman" w:hAnsi="Times New Roman"/>
          <w:b w:val="0"/>
          <w:i w:val="0"/>
        </w:rPr>
        <w:t>The first learned rescorer is a compact two-layer network over eight physicochemical and docking descriptors (molecular weight, rotatable bonds, heavy-atom count, H-bond donors/acceptors, TPSA, logP, ligand efficiency), trained to predict the literature label from the docked ligand.</w:t>
      </w:r>
    </w:p>
    <w:p>
      <w:pPr>
        <w:pStyle w:val="Heading2"/>
      </w:pPr>
      <w:r>
        <w:rPr>
          <w:rFonts w:ascii="Times New Roman" w:hAnsi="Times New Roman"/>
          <w:color w:val="1F4E9C"/>
        </w:rPr>
        <w:t>2.7 Pose-graph GNN rescorer</w:t>
      </w:r>
    </w:p>
    <w:p>
      <w:r>
        <w:rPr>
          <w:rFonts w:ascii="Times New Roman" w:hAnsi="Times New Roman"/>
          <w:b w:val="0"/>
          <w:i w:val="0"/>
        </w:rPr>
        <w:t>The second learned rescorer sees what the scalar score cannot: the docked geometry itself. Each re-docked pose is converted to a contact graph - ligand atoms and pocket residues as nodes, distance-thresholded contacts as edges, node features from atom type, charge and hydrophobicity - and scored by message passing followed by a pooled readout (Appendix B derives the update equations). Training is leave-one-out over the 15 labeled compounds; the model is deliberately small (two message-passing rounds) because at n = 15 capacity is the enemy.</w:t>
      </w:r>
    </w:p>
    <w:p>
      <w:pPr>
        <w:pStyle w:val="Heading2"/>
      </w:pPr>
      <w:r>
        <w:rPr>
          <w:rFonts w:ascii="Times New Roman" w:hAnsi="Times New Roman"/>
          <w:color w:val="1F4E9C"/>
        </w:rPr>
        <w:t>2.8 De novo enumeration and novelty verification</w:t>
      </w:r>
    </w:p>
    <w:p>
      <w:r>
        <w:rPr>
          <w:rFonts w:ascii="Times New Roman" w:hAnsi="Times New Roman"/>
          <w:b w:val="0"/>
          <w:i w:val="0"/>
        </w:rPr>
        <w:t>The de novo study enumerates a 38-member constrained library around non-covalent Mpro chemotypes (amide-linked biaryl cores with hydrogen-bonding caps sized for the S1'/S2 subpockets), docks every member under the validated protocol, ranks by affinity and ligand efficiency, and measures chemical distance to the screened drugs by Tanimoto similarity of Morgan fingerprints. Novelty of the winner is then verified live against PubChem: exact-structure identity (fastidentity endpoint) plus 2D similarity neighborhoods at 0.85 and 0.95 thresholds. During verification we caught and corrected a pipeline artifact - the smiles/cids endpoint can return an invalid CID 0 record for absent structures - and the corrected record, not the artifact, is what this paper reports.</w:t>
      </w:r>
    </w:p>
    <w:p>
      <w:pPr>
        <w:pStyle w:val="Heading2"/>
      </w:pPr>
      <w:r>
        <w:rPr>
          <w:rFonts w:ascii="Times New Roman" w:hAnsi="Times New Roman"/>
          <w:color w:val="1F4E9C"/>
        </w:rPr>
        <w:t>2.9 Protocol Specifics and Box Geometry</w:t>
      </w:r>
    </w:p>
    <w:p>
      <w:r>
        <w:rPr>
          <w:rFonts w:ascii="Times New Roman" w:hAnsi="Times New Roman"/>
          <w:b w:val="0"/>
          <w:i w:val="0"/>
        </w:rPr>
        <w:t>The search box is a 20 A cube centered on the X7V centroid, placing the catalytic dyad roughly at the box center with all four subpockets inside. Exhaustiveness 16 (validation) and 8 (screening) trade sampling depth against throughput as derived in Appendix Z.2; nine and five output poses respectively. All Vina runs used the default weight set - no re-fitted scoring, because the benchmark's meaning depends on the engine being the public one. Receptor preparation kept the deposited protonation; the catalytic Cys145 was modeled in its reduced form, consistent with the non-covalent complex. Ligand stereochemistry came from the resolved isomeric SMILES, never from name-only matching.</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parameter</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receptor</w:t>
            </w:r>
          </w:p>
        </w:tc>
        <w:tc>
          <w:tcPr>
            <w:tcW w:type="dxa" w:w="4536"/>
          </w:tcPr>
          <w:p>
            <w:r>
              <w:rPr>
                <w:rFonts w:ascii="Times New Roman" w:hAnsi="Times New Roman"/>
                <w:sz w:val="19"/>
              </w:rPr>
              <w:t>7KX5 chain A, 2367 atoms</w:t>
            </w:r>
          </w:p>
        </w:tc>
      </w:tr>
      <w:tr>
        <w:tc>
          <w:tcPr>
            <w:tcW w:type="dxa" w:w="4536"/>
          </w:tcPr>
          <w:p>
            <w:r>
              <w:rPr>
                <w:rFonts w:ascii="Times New Roman" w:hAnsi="Times New Roman"/>
                <w:sz w:val="19"/>
              </w:rPr>
              <w:t>box</w:t>
            </w:r>
          </w:p>
        </w:tc>
        <w:tc>
          <w:tcPr>
            <w:tcW w:type="dxa" w:w="4536"/>
          </w:tcPr>
          <w:p>
            <w:r>
              <w:rPr>
                <w:rFonts w:ascii="Times New Roman" w:hAnsi="Times New Roman"/>
                <w:sz w:val="19"/>
              </w:rPr>
              <w:t>20 x 20 x 20 A on ligand centroid</w:t>
            </w:r>
          </w:p>
        </w:tc>
      </w:tr>
      <w:tr>
        <w:tc>
          <w:tcPr>
            <w:tcW w:type="dxa" w:w="4536"/>
          </w:tcPr>
          <w:p>
            <w:r>
              <w:rPr>
                <w:rFonts w:ascii="Times New Roman" w:hAnsi="Times New Roman"/>
                <w:sz w:val="19"/>
              </w:rPr>
              <w:t>exhaustiveness (validation / screen)</w:t>
            </w:r>
          </w:p>
        </w:tc>
        <w:tc>
          <w:tcPr>
            <w:tcW w:type="dxa" w:w="4536"/>
          </w:tcPr>
          <w:p>
            <w:r>
              <w:rPr>
                <w:rFonts w:ascii="Times New Roman" w:hAnsi="Times New Roman"/>
                <w:sz w:val="19"/>
              </w:rPr>
              <w:t>16 / 8</w:t>
            </w:r>
          </w:p>
        </w:tc>
      </w:tr>
      <w:tr>
        <w:tc>
          <w:tcPr>
            <w:tcW w:type="dxa" w:w="4536"/>
          </w:tcPr>
          <w:p>
            <w:r>
              <w:rPr>
                <w:rFonts w:ascii="Times New Roman" w:hAnsi="Times New Roman"/>
                <w:sz w:val="19"/>
              </w:rPr>
              <w:t>poses (validation / screen)</w:t>
            </w:r>
          </w:p>
        </w:tc>
        <w:tc>
          <w:tcPr>
            <w:tcW w:type="dxa" w:w="4536"/>
          </w:tcPr>
          <w:p>
            <w:r>
              <w:rPr>
                <w:rFonts w:ascii="Times New Roman" w:hAnsi="Times New Roman"/>
                <w:sz w:val="19"/>
              </w:rPr>
              <w:t>9 / 5</w:t>
            </w:r>
          </w:p>
        </w:tc>
      </w:tr>
      <w:tr>
        <w:tc>
          <w:tcPr>
            <w:tcW w:type="dxa" w:w="4536"/>
          </w:tcPr>
          <w:p>
            <w:r>
              <w:rPr>
                <w:rFonts w:ascii="Times New Roman" w:hAnsi="Times New Roman"/>
                <w:sz w:val="19"/>
              </w:rPr>
              <w:t>scoring weights</w:t>
            </w:r>
          </w:p>
        </w:tc>
        <w:tc>
          <w:tcPr>
            <w:tcW w:type="dxa" w:w="4536"/>
          </w:tcPr>
          <w:p>
            <w:r>
              <w:rPr>
                <w:rFonts w:ascii="Times New Roman" w:hAnsi="Times New Roman"/>
                <w:sz w:val="19"/>
              </w:rPr>
              <w:t>Vina 1.2 defaults</w:t>
            </w:r>
          </w:p>
        </w:tc>
      </w:tr>
      <w:tr>
        <w:tc>
          <w:tcPr>
            <w:tcW w:type="dxa" w:w="4536"/>
          </w:tcPr>
          <w:p>
            <w:r>
              <w:rPr>
                <w:rFonts w:ascii="Times New Roman" w:hAnsi="Times New Roman"/>
                <w:sz w:val="19"/>
              </w:rPr>
              <w:t>Cys145 state</w:t>
            </w:r>
          </w:p>
        </w:tc>
        <w:tc>
          <w:tcPr>
            <w:tcW w:type="dxa" w:w="4536"/>
          </w:tcPr>
          <w:p>
            <w:r>
              <w:rPr>
                <w:rFonts w:ascii="Times New Roman" w:hAnsi="Times New Roman"/>
                <w:sz w:val="19"/>
              </w:rPr>
              <w:t>reduced</w:t>
            </w:r>
          </w:p>
        </w:tc>
      </w:tr>
      <w:tr>
        <w:tc>
          <w:tcPr>
            <w:tcW w:type="dxa" w:w="4536"/>
          </w:tcPr>
          <w:p>
            <w:r>
              <w:rPr>
                <w:rFonts w:ascii="Times New Roman" w:hAnsi="Times New Roman"/>
                <w:sz w:val="19"/>
              </w:rPr>
              <w:t>ligand geometry source</w:t>
            </w:r>
          </w:p>
        </w:tc>
        <w:tc>
          <w:tcPr>
            <w:tcW w:type="dxa" w:w="4536"/>
          </w:tcPr>
          <w:p>
            <w:r>
              <w:rPr>
                <w:rFonts w:ascii="Times New Roman" w:hAnsi="Times New Roman"/>
                <w:sz w:val="19"/>
              </w:rPr>
              <w:t>isomeric SMILES -&gt; ETKDGv3 -&gt; MMFF94</w:t>
            </w:r>
          </w:p>
        </w:tc>
      </w:tr>
    </w:tbl>
    <w:p>
      <w:pPr>
        <w:pStyle w:val="Heading2"/>
      </w:pPr>
      <w:r>
        <w:rPr>
          <w:rFonts w:ascii="Times New Roman" w:hAnsi="Times New Roman"/>
          <w:color w:val="1F4E9C"/>
        </w:rPr>
        <w:t>3.6 Pose-Level Observations</w:t>
      </w:r>
    </w:p>
    <w:p>
      <w:r>
        <w:rPr>
          <w:rFonts w:ascii="Times New Roman" w:hAnsi="Times New Roman"/>
          <w:b w:val="0"/>
          <w:i w:val="0"/>
        </w:rPr>
        <w:t>Three pose-level patterns recur in the docked ensemble and are worth recording for the next campaign. First, the top-ranked peptidomimetics (saquinavir, lopinavir, darunavir) all adopt extended conformations spanning S1' to S4 - maximizing contact count, which the empirical score rewards, while their assay inactivity shows the contacts are the wrong ones. Second, the true actives cluster their hydrogen bonds on the His163-Glu166 anchor pair in S1, a pattern the GNN can see and the scalar score cannot weight. Third, MPRO-D1's winning pose places the biphenyl deep in S2 with the primary amide capping S1' - the same grammar as the clinical non-covalent inhibitors, arrived at by enumeration rather than by imitation. These observations are qualitative; they are recorded as hypotheses for the enlarged label set, not as conclusions.</w:t>
      </w:r>
    </w:p>
    <w:p>
      <w:pPr>
        <w:pStyle w:val="Heading1"/>
        <w:pBdr>
          <w:bottom w:val="single" w:sz="12" w:space="4" w:color="1F4E9C"/>
        </w:pBdr>
      </w:pPr>
      <w:r>
        <w:rPr>
          <w:rFonts w:ascii="Times New Roman" w:hAnsi="Times New Roman"/>
          <w:color w:val="1F4E9C"/>
        </w:rPr>
        <w:t>3. Results</w:t>
      </w:r>
    </w:p>
    <w:p>
      <w:pPr>
        <w:pStyle w:val="Heading2"/>
      </w:pPr>
      <w:r>
        <w:rPr>
          <w:rFonts w:ascii="Times New Roman" w:hAnsi="Times New Roman"/>
          <w:color w:val="1F4E9C"/>
        </w:rPr>
        <w:t>3.1 Protocol validation: redocking</w:t>
      </w:r>
    </w:p>
    <w:p>
      <w:r>
        <w:rPr>
          <w:rFonts w:ascii="Times New Roman" w:hAnsi="Times New Roman"/>
          <w:b w:val="0"/>
          <w:i w:val="0"/>
        </w:rPr>
        <w:t>The engine placed JUN8-76-3A back into the Mpro pocket with a heavy-atom RMSD of 0.97 A (gate: &lt; 2.0 A) and a best predicted affinity of -9.32 kcal/mol. Figure 1 overlays the crystal and docked poses after principal-axis alignment: the biphenyl and furoyl groups occupy the same subpockets, and the per-atom scatter hugs the diagonal. The protocol is validated on this target, and every subsequent claim inherits that calibration.</w:t>
      </w:r>
    </w:p>
    <w:p>
      <w:pPr>
        <w:jc w:val="center"/>
      </w:pPr>
      <w:r>
        <w:drawing>
          <wp:inline xmlns:a="http://schemas.openxmlformats.org/drawingml/2006/main" xmlns:pic="http://schemas.openxmlformats.org/drawingml/2006/picture">
            <wp:extent cx="5486400" cy="2438400"/>
            <wp:docPr id="1" name="Picture 1"/>
            <wp:cNvGraphicFramePr>
              <a:graphicFrameLocks noChangeAspect="1"/>
            </wp:cNvGraphicFramePr>
            <a:graphic>
              <a:graphicData uri="http://schemas.openxmlformats.org/drawingml/2006/picture">
                <pic:pic>
                  <pic:nvPicPr>
                    <pic:cNvPr id="0" name="redock_overlay.png"/>
                    <pic:cNvPicPr/>
                  </pic:nvPicPr>
                  <pic:blipFill>
                    <a:blip r:embed="rId9"/>
                    <a:stretch>
                      <a:fillRect/>
                    </a:stretch>
                  </pic:blipFill>
                  <pic:spPr>
                    <a:xfrm>
                      <a:off x="0" y="0"/>
                      <a:ext cx="5486400" cy="2438400"/>
                    </a:xfrm>
                    <a:prstGeom prst="rect"/>
                  </pic:spPr>
                </pic:pic>
              </a:graphicData>
            </a:graphic>
          </wp:inline>
        </w:drawing>
      </w:r>
    </w:p>
    <w:p>
      <w:pPr>
        <w:jc w:val="center"/>
      </w:pPr>
      <w:r>
        <w:rPr>
          <w:rFonts w:ascii="Times New Roman" w:hAnsi="Times New Roman"/>
          <w:b w:val="0"/>
          <w:i/>
        </w:rPr>
        <w:t>Figure 1. Redocking validation: crystal vs docked pose of JUN8-76-3A in Mpro (7KX5).</w:t>
      </w:r>
    </w:p>
    <w:p>
      <w:pPr>
        <w:pStyle w:val="Heading2"/>
      </w:pPr>
      <w:r>
        <w:rPr>
          <w:rFonts w:ascii="Times New Roman" w:hAnsi="Times New Roman"/>
          <w:color w:val="1F4E9C"/>
        </w:rPr>
        <w:t>3.1b Protocol transfer: a second structure and chemotype</w:t>
      </w:r>
    </w:p>
    <w:p>
      <w:r>
        <w:rPr>
          <w:rFonts w:ascii="Times New Roman" w:hAnsi="Times New Roman"/>
          <w:b w:val="0"/>
          <w:i w:val="0"/>
        </w:rPr>
        <w:t>A validation that only works on the structure it was tuned on is curve-fitting, not calibration. We therefore re-ran the identical protocol on an independent deposit: the room-temperature WT Mpro catalytic domains (8V8E, 2.0 A) in complex with ensitrelvir (S-217622), a non-covalent clinical inhibitor of a different chemotype from X7V. Structure selection was audited, not convenient: 7VU6 (1.8 A) and 8HUR (1.64 A) were both rejected because their deposits truncate binding-site sidechains (ARG188 at 3.6 A from the ligand in every chain; 7VU6 also truncates LEU50 and GLU47), while 8V8E chain A presents a complete site (HIS41, MET49, CYS145, HIS163, GLU166, ARG188, GLN189 all full sidechains); four incomplete residues far from the pocket (VAL86 at 9.7 A, VAL125/CYS128/MET130 at 14.5 A or more) were removed by the preparer and are documented in data/raw/transfer_structure_audit.json. The transfer redock passes the same gate: heavy-atom RMSD 1.43 A (&lt; 2.0 A), best affinity -9.76 kcal/mol at exhaustiveness 16. The mpro-dock protocol now validates on two independent structures and two chemotypes, which is the honest scope of every ranking claim in this paper.</w:t>
      </w:r>
    </w:p>
    <w:p>
      <w:pPr>
        <w:pStyle w:val="Heading2"/>
      </w:pPr>
      <w:r>
        <w:rPr>
          <w:rFonts w:ascii="Times New Roman" w:hAnsi="Times New Roman"/>
          <w:color w:val="1F4E9C"/>
        </w:rPr>
        <w:t>3.2 Screening campaign and an honest negative</w:t>
      </w:r>
    </w:p>
    <w:p>
      <w:r>
        <w:rPr>
          <w:rFonts w:ascii="Times New Roman" w:hAnsi="Times New Roman"/>
          <w:b w:val="0"/>
          <w:i w:val="0"/>
        </w:rPr>
        <w:t>All 22 resolved compounds docked successfully. Table 1 reports the full ranking with literature labels; Figure 2 shows the affinity ranking by class. The headline is a negative, reported as measured: raw Vina affinity ranks actives above inactives at AUROC 0.339, below the 0.5 chance line, and actives occupy 3 of the top eight positions against a chance expectation of 3.7 (hypergeometric p = 0.900). On this label set, plain docking does not enrich. This is not a rare outcome in the field - rigid-receptor empirical scoring is known to struggle on protease pockets with water-mediated recognition - but it is a rarely published one, and it is the control against which the learned rescorers must be judged.</w:t>
      </w:r>
    </w:p>
    <w:p>
      <w:r>
        <w:rPr>
          <w:rFonts w:ascii="Times New Roman" w:hAnsi="Times New Roman"/>
          <w:b w:val="0"/>
          <w:i/>
        </w:rPr>
        <w:t>Table 1. Full campaign ranking (Vina affinity, kcal/mol; label from literature).</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compound</w:t>
            </w:r>
          </w:p>
        </w:tc>
        <w:tc>
          <w:tcPr>
            <w:tcW w:type="dxa" w:w="3024"/>
            <w:shd w:val="clear" w:fill="DCE6F1"/>
          </w:tcPr>
          <w:p>
            <w:r>
              <w:rPr>
                <w:rFonts w:ascii="Times New Roman" w:hAnsi="Times New Roman"/>
                <w:b/>
                <w:sz w:val="19"/>
              </w:rPr>
              <w:t>affinity (kcal/mol)</w:t>
            </w:r>
          </w:p>
        </w:tc>
        <w:tc>
          <w:tcPr>
            <w:tcW w:type="dxa" w:w="3024"/>
            <w:shd w:val="clear" w:fill="DCE6F1"/>
          </w:tcPr>
          <w:p>
            <w:r>
              <w:rPr>
                <w:rFonts w:ascii="Times New Roman" w:hAnsi="Times New Roman"/>
                <w:b/>
                <w:sz w:val="19"/>
              </w:rPr>
              <w:t>literature label</w:t>
            </w:r>
          </w:p>
        </w:tc>
      </w:tr>
      <w:tr>
        <w:tc>
          <w:tcPr>
            <w:tcW w:type="dxa" w:w="3024"/>
          </w:tcPr>
          <w:p>
            <w:r>
              <w:rPr>
                <w:rFonts w:ascii="Times New Roman" w:hAnsi="Times New Roman"/>
                <w:sz w:val="19"/>
              </w:rPr>
              <w:t>nilotinib</w:t>
            </w:r>
          </w:p>
        </w:tc>
        <w:tc>
          <w:tcPr>
            <w:tcW w:type="dxa" w:w="3024"/>
          </w:tcPr>
          <w:p>
            <w:r>
              <w:rPr>
                <w:rFonts w:ascii="Times New Roman" w:hAnsi="Times New Roman"/>
                <w:sz w:val="19"/>
              </w:rPr>
              <w:t>-9.31</w:t>
            </w:r>
          </w:p>
        </w:tc>
        <w:tc>
          <w:tcPr>
            <w:tcW w:type="dxa" w:w="3024"/>
          </w:tcPr>
          <w:p>
            <w:r>
              <w:rPr>
                <w:rFonts w:ascii="Times New Roman" w:hAnsi="Times New Roman"/>
                <w:sz w:val="19"/>
              </w:rPr>
              <w:t>unknown</w:t>
            </w:r>
          </w:p>
        </w:tc>
      </w:tr>
      <w:tr>
        <w:tc>
          <w:tcPr>
            <w:tcW w:type="dxa" w:w="3024"/>
          </w:tcPr>
          <w:p>
            <w:r>
              <w:rPr>
                <w:rFonts w:ascii="Times New Roman" w:hAnsi="Times New Roman"/>
                <w:sz w:val="19"/>
              </w:rPr>
              <w:t>saquinavir</w:t>
            </w:r>
          </w:p>
        </w:tc>
        <w:tc>
          <w:tcPr>
            <w:tcW w:type="dxa" w:w="3024"/>
          </w:tcPr>
          <w:p>
            <w:r>
              <w:rPr>
                <w:rFonts w:ascii="Times New Roman" w:hAnsi="Times New Roman"/>
                <w:sz w:val="19"/>
              </w:rPr>
              <w:t>-9.23</w:t>
            </w:r>
          </w:p>
        </w:tc>
        <w:tc>
          <w:tcPr>
            <w:tcW w:type="dxa" w:w="3024"/>
          </w:tcPr>
          <w:p>
            <w:r>
              <w:rPr>
                <w:rFonts w:ascii="Times New Roman" w:hAnsi="Times New Roman"/>
                <w:sz w:val="19"/>
              </w:rPr>
              <w:t>inactive</w:t>
            </w:r>
          </w:p>
        </w:tc>
      </w:tr>
      <w:tr>
        <w:tc>
          <w:tcPr>
            <w:tcW w:type="dxa" w:w="3024"/>
          </w:tcPr>
          <w:p>
            <w:r>
              <w:rPr>
                <w:rFonts w:ascii="Times New Roman" w:hAnsi="Times New Roman"/>
                <w:sz w:val="19"/>
              </w:rPr>
              <w:t>masitinib</w:t>
            </w:r>
          </w:p>
        </w:tc>
        <w:tc>
          <w:tcPr>
            <w:tcW w:type="dxa" w:w="3024"/>
          </w:tcPr>
          <w:p>
            <w:r>
              <w:rPr>
                <w:rFonts w:ascii="Times New Roman" w:hAnsi="Times New Roman"/>
                <w:sz w:val="19"/>
              </w:rPr>
              <w:t>-8.77</w:t>
            </w:r>
          </w:p>
        </w:tc>
        <w:tc>
          <w:tcPr>
            <w:tcW w:type="dxa" w:w="3024"/>
          </w:tcPr>
          <w:p>
            <w:r>
              <w:rPr>
                <w:rFonts w:ascii="Times New Roman" w:hAnsi="Times New Roman"/>
                <w:sz w:val="19"/>
              </w:rPr>
              <w:t>active</w:t>
            </w:r>
          </w:p>
        </w:tc>
      </w:tr>
      <w:tr>
        <w:tc>
          <w:tcPr>
            <w:tcW w:type="dxa" w:w="3024"/>
          </w:tcPr>
          <w:p>
            <w:r>
              <w:rPr>
                <w:rFonts w:ascii="Times New Roman" w:hAnsi="Times New Roman"/>
                <w:sz w:val="19"/>
              </w:rPr>
              <w:t>nelfinavir</w:t>
            </w:r>
          </w:p>
        </w:tc>
        <w:tc>
          <w:tcPr>
            <w:tcW w:type="dxa" w:w="3024"/>
          </w:tcPr>
          <w:p>
            <w:r>
              <w:rPr>
                <w:rFonts w:ascii="Times New Roman" w:hAnsi="Times New Roman"/>
                <w:sz w:val="19"/>
              </w:rPr>
              <w:t>-8.75</w:t>
            </w:r>
          </w:p>
        </w:tc>
        <w:tc>
          <w:tcPr>
            <w:tcW w:type="dxa" w:w="3024"/>
          </w:tcPr>
          <w:p>
            <w:r>
              <w:rPr>
                <w:rFonts w:ascii="Times New Roman" w:hAnsi="Times New Roman"/>
                <w:sz w:val="19"/>
              </w:rPr>
              <w:t>inactive</w:t>
            </w:r>
          </w:p>
        </w:tc>
      </w:tr>
      <w:tr>
        <w:tc>
          <w:tcPr>
            <w:tcW w:type="dxa" w:w="3024"/>
          </w:tcPr>
          <w:p>
            <w:r>
              <w:rPr>
                <w:rFonts w:ascii="Times New Roman" w:hAnsi="Times New Roman"/>
                <w:sz w:val="19"/>
              </w:rPr>
              <w:t>lopinavir</w:t>
            </w:r>
          </w:p>
        </w:tc>
        <w:tc>
          <w:tcPr>
            <w:tcW w:type="dxa" w:w="3024"/>
          </w:tcPr>
          <w:p>
            <w:r>
              <w:rPr>
                <w:rFonts w:ascii="Times New Roman" w:hAnsi="Times New Roman"/>
                <w:sz w:val="19"/>
              </w:rPr>
              <w:t>-8.72</w:t>
            </w:r>
          </w:p>
        </w:tc>
        <w:tc>
          <w:tcPr>
            <w:tcW w:type="dxa" w:w="3024"/>
          </w:tcPr>
          <w:p>
            <w:r>
              <w:rPr>
                <w:rFonts w:ascii="Times New Roman" w:hAnsi="Times New Roman"/>
                <w:sz w:val="19"/>
              </w:rPr>
              <w:t>inactive</w:t>
            </w:r>
          </w:p>
        </w:tc>
      </w:tr>
      <w:tr>
        <w:tc>
          <w:tcPr>
            <w:tcW w:type="dxa" w:w="3024"/>
          </w:tcPr>
          <w:p>
            <w:r>
              <w:rPr>
                <w:rFonts w:ascii="Times New Roman" w:hAnsi="Times New Roman"/>
                <w:sz w:val="19"/>
              </w:rPr>
              <w:t>nafamostat</w:t>
            </w:r>
          </w:p>
        </w:tc>
        <w:tc>
          <w:tcPr>
            <w:tcW w:type="dxa" w:w="3024"/>
          </w:tcPr>
          <w:p>
            <w:r>
              <w:rPr>
                <w:rFonts w:ascii="Times New Roman" w:hAnsi="Times New Roman"/>
                <w:sz w:val="19"/>
              </w:rPr>
              <w:t>-8.25</w:t>
            </w:r>
          </w:p>
        </w:tc>
        <w:tc>
          <w:tcPr>
            <w:tcW w:type="dxa" w:w="3024"/>
          </w:tcPr>
          <w:p>
            <w:r>
              <w:rPr>
                <w:rFonts w:ascii="Times New Roman" w:hAnsi="Times New Roman"/>
                <w:sz w:val="19"/>
              </w:rPr>
              <w:t>unknown</w:t>
            </w:r>
          </w:p>
        </w:tc>
      </w:tr>
      <w:tr>
        <w:tc>
          <w:tcPr>
            <w:tcW w:type="dxa" w:w="3024"/>
          </w:tcPr>
          <w:p>
            <w:r>
              <w:rPr>
                <w:rFonts w:ascii="Times New Roman" w:hAnsi="Times New Roman"/>
                <w:sz w:val="19"/>
              </w:rPr>
              <w:t>darunavir</w:t>
            </w:r>
          </w:p>
        </w:tc>
        <w:tc>
          <w:tcPr>
            <w:tcW w:type="dxa" w:w="3024"/>
          </w:tcPr>
          <w:p>
            <w:r>
              <w:rPr>
                <w:rFonts w:ascii="Times New Roman" w:hAnsi="Times New Roman"/>
                <w:sz w:val="19"/>
              </w:rPr>
              <w:t>-8.19</w:t>
            </w:r>
          </w:p>
        </w:tc>
        <w:tc>
          <w:tcPr>
            <w:tcW w:type="dxa" w:w="3024"/>
          </w:tcPr>
          <w:p>
            <w:r>
              <w:rPr>
                <w:rFonts w:ascii="Times New Roman" w:hAnsi="Times New Roman"/>
                <w:sz w:val="19"/>
              </w:rPr>
              <w:t>inactive</w:t>
            </w:r>
          </w:p>
        </w:tc>
      </w:tr>
      <w:tr>
        <w:tc>
          <w:tcPr>
            <w:tcW w:type="dxa" w:w="3024"/>
          </w:tcPr>
          <w:p>
            <w:r>
              <w:rPr>
                <w:rFonts w:ascii="Times New Roman" w:hAnsi="Times New Roman"/>
                <w:sz w:val="19"/>
              </w:rPr>
              <w:t>tideglusib</w:t>
            </w:r>
          </w:p>
        </w:tc>
        <w:tc>
          <w:tcPr>
            <w:tcW w:type="dxa" w:w="3024"/>
          </w:tcPr>
          <w:p>
            <w:r>
              <w:rPr>
                <w:rFonts w:ascii="Times New Roman" w:hAnsi="Times New Roman"/>
                <w:sz w:val="19"/>
              </w:rPr>
              <w:t>-8.18</w:t>
            </w:r>
          </w:p>
        </w:tc>
        <w:tc>
          <w:tcPr>
            <w:tcW w:type="dxa" w:w="3024"/>
          </w:tcPr>
          <w:p>
            <w:r>
              <w:rPr>
                <w:rFonts w:ascii="Times New Roman" w:hAnsi="Times New Roman"/>
                <w:sz w:val="19"/>
              </w:rPr>
              <w:t>active</w:t>
            </w:r>
          </w:p>
        </w:tc>
      </w:tr>
      <w:tr>
        <w:tc>
          <w:tcPr>
            <w:tcW w:type="dxa" w:w="3024"/>
          </w:tcPr>
          <w:p>
            <w:r>
              <w:rPr>
                <w:rFonts w:ascii="Times New Roman" w:hAnsi="Times New Roman"/>
                <w:sz w:val="19"/>
              </w:rPr>
              <w:t>indinavir</w:t>
            </w:r>
          </w:p>
        </w:tc>
        <w:tc>
          <w:tcPr>
            <w:tcW w:type="dxa" w:w="3024"/>
          </w:tcPr>
          <w:p>
            <w:r>
              <w:rPr>
                <w:rFonts w:ascii="Times New Roman" w:hAnsi="Times New Roman"/>
                <w:sz w:val="19"/>
              </w:rPr>
              <w:t>-8.13</w:t>
            </w:r>
          </w:p>
        </w:tc>
        <w:tc>
          <w:tcPr>
            <w:tcW w:type="dxa" w:w="3024"/>
          </w:tcPr>
          <w:p>
            <w:r>
              <w:rPr>
                <w:rFonts w:ascii="Times New Roman" w:hAnsi="Times New Roman"/>
                <w:sz w:val="19"/>
              </w:rPr>
              <w:t>inactive</w:t>
            </w:r>
          </w:p>
        </w:tc>
      </w:tr>
      <w:tr>
        <w:tc>
          <w:tcPr>
            <w:tcW w:type="dxa" w:w="3024"/>
          </w:tcPr>
          <w:p>
            <w:r>
              <w:rPr>
                <w:rFonts w:ascii="Times New Roman" w:hAnsi="Times New Roman"/>
                <w:sz w:val="19"/>
              </w:rPr>
              <w:t>nirmatrelvir</w:t>
            </w:r>
          </w:p>
        </w:tc>
        <w:tc>
          <w:tcPr>
            <w:tcW w:type="dxa" w:w="3024"/>
          </w:tcPr>
          <w:p>
            <w:r>
              <w:rPr>
                <w:rFonts w:ascii="Times New Roman" w:hAnsi="Times New Roman"/>
                <w:sz w:val="19"/>
              </w:rPr>
              <w:t>-8.03</w:t>
            </w:r>
          </w:p>
        </w:tc>
        <w:tc>
          <w:tcPr>
            <w:tcW w:type="dxa" w:w="3024"/>
          </w:tcPr>
          <w:p>
            <w:r>
              <w:rPr>
                <w:rFonts w:ascii="Times New Roman" w:hAnsi="Times New Roman"/>
                <w:sz w:val="19"/>
              </w:rPr>
              <w:t>active</w:t>
            </w:r>
          </w:p>
        </w:tc>
      </w:tr>
      <w:tr>
        <w:tc>
          <w:tcPr>
            <w:tcW w:type="dxa" w:w="3024"/>
          </w:tcPr>
          <w:p>
            <w:r>
              <w:rPr>
                <w:rFonts w:ascii="Times New Roman" w:hAnsi="Times New Roman"/>
                <w:sz w:val="19"/>
              </w:rPr>
              <w:t>boceprevir</w:t>
            </w:r>
          </w:p>
        </w:tc>
        <w:tc>
          <w:tcPr>
            <w:tcW w:type="dxa" w:w="3024"/>
          </w:tcPr>
          <w:p>
            <w:r>
              <w:rPr>
                <w:rFonts w:ascii="Times New Roman" w:hAnsi="Times New Roman"/>
                <w:sz w:val="19"/>
              </w:rPr>
              <w:t>-7.89</w:t>
            </w:r>
          </w:p>
        </w:tc>
        <w:tc>
          <w:tcPr>
            <w:tcW w:type="dxa" w:w="3024"/>
          </w:tcPr>
          <w:p>
            <w:r>
              <w:rPr>
                <w:rFonts w:ascii="Times New Roman" w:hAnsi="Times New Roman"/>
                <w:sz w:val="19"/>
              </w:rPr>
              <w:t>active</w:t>
            </w:r>
          </w:p>
        </w:tc>
      </w:tr>
      <w:tr>
        <w:tc>
          <w:tcPr>
            <w:tcW w:type="dxa" w:w="3024"/>
          </w:tcPr>
          <w:p>
            <w:r>
              <w:rPr>
                <w:rFonts w:ascii="Times New Roman" w:hAnsi="Times New Roman"/>
                <w:sz w:val="19"/>
              </w:rPr>
              <w:t>camostat</w:t>
            </w:r>
          </w:p>
        </w:tc>
        <w:tc>
          <w:tcPr>
            <w:tcW w:type="dxa" w:w="3024"/>
          </w:tcPr>
          <w:p>
            <w:r>
              <w:rPr>
                <w:rFonts w:ascii="Times New Roman" w:hAnsi="Times New Roman"/>
                <w:sz w:val="19"/>
              </w:rPr>
              <w:t>-7.85</w:t>
            </w:r>
          </w:p>
        </w:tc>
        <w:tc>
          <w:tcPr>
            <w:tcW w:type="dxa" w:w="3024"/>
          </w:tcPr>
          <w:p>
            <w:r>
              <w:rPr>
                <w:rFonts w:ascii="Times New Roman" w:hAnsi="Times New Roman"/>
                <w:sz w:val="19"/>
              </w:rPr>
              <w:t>unknown</w:t>
            </w:r>
          </w:p>
        </w:tc>
      </w:tr>
      <w:tr>
        <w:tc>
          <w:tcPr>
            <w:tcW w:type="dxa" w:w="3024"/>
          </w:tcPr>
          <w:p>
            <w:r>
              <w:rPr>
                <w:rFonts w:ascii="Times New Roman" w:hAnsi="Times New Roman"/>
                <w:sz w:val="19"/>
              </w:rPr>
              <w:t>ritonavir</w:t>
            </w:r>
          </w:p>
        </w:tc>
        <w:tc>
          <w:tcPr>
            <w:tcW w:type="dxa" w:w="3024"/>
          </w:tcPr>
          <w:p>
            <w:r>
              <w:rPr>
                <w:rFonts w:ascii="Times New Roman" w:hAnsi="Times New Roman"/>
                <w:sz w:val="19"/>
              </w:rPr>
              <w:t>-7.80</w:t>
            </w:r>
          </w:p>
        </w:tc>
        <w:tc>
          <w:tcPr>
            <w:tcW w:type="dxa" w:w="3024"/>
          </w:tcPr>
          <w:p>
            <w:r>
              <w:rPr>
                <w:rFonts w:ascii="Times New Roman" w:hAnsi="Times New Roman"/>
                <w:sz w:val="19"/>
              </w:rPr>
              <w:t>unknown</w:t>
            </w:r>
          </w:p>
        </w:tc>
      </w:tr>
      <w:tr>
        <w:tc>
          <w:tcPr>
            <w:tcW w:type="dxa" w:w="3024"/>
          </w:tcPr>
          <w:p>
            <w:r>
              <w:rPr>
                <w:rFonts w:ascii="Times New Roman" w:hAnsi="Times New Roman"/>
                <w:sz w:val="19"/>
              </w:rPr>
              <w:t>atazanavir</w:t>
            </w:r>
          </w:p>
        </w:tc>
        <w:tc>
          <w:tcPr>
            <w:tcW w:type="dxa" w:w="3024"/>
          </w:tcPr>
          <w:p>
            <w:r>
              <w:rPr>
                <w:rFonts w:ascii="Times New Roman" w:hAnsi="Times New Roman"/>
                <w:sz w:val="19"/>
              </w:rPr>
              <w:t>-7.71</w:t>
            </w:r>
          </w:p>
        </w:tc>
        <w:tc>
          <w:tcPr>
            <w:tcW w:type="dxa" w:w="3024"/>
          </w:tcPr>
          <w:p>
            <w:r>
              <w:rPr>
                <w:rFonts w:ascii="Times New Roman" w:hAnsi="Times New Roman"/>
                <w:sz w:val="19"/>
              </w:rPr>
              <w:t>inactive</w:t>
            </w:r>
          </w:p>
        </w:tc>
      </w:tr>
      <w:tr>
        <w:tc>
          <w:tcPr>
            <w:tcW w:type="dxa" w:w="3024"/>
          </w:tcPr>
          <w:p>
            <w:r>
              <w:rPr>
                <w:rFonts w:ascii="Times New Roman" w:hAnsi="Times New Roman"/>
                <w:sz w:val="19"/>
              </w:rPr>
              <w:t>telaprevir</w:t>
            </w:r>
          </w:p>
        </w:tc>
        <w:tc>
          <w:tcPr>
            <w:tcW w:type="dxa" w:w="3024"/>
          </w:tcPr>
          <w:p>
            <w:r>
              <w:rPr>
                <w:rFonts w:ascii="Times New Roman" w:hAnsi="Times New Roman"/>
                <w:sz w:val="19"/>
              </w:rPr>
              <w:t>-7.66</w:t>
            </w:r>
          </w:p>
        </w:tc>
        <w:tc>
          <w:tcPr>
            <w:tcW w:type="dxa" w:w="3024"/>
          </w:tcPr>
          <w:p>
            <w:r>
              <w:rPr>
                <w:rFonts w:ascii="Times New Roman" w:hAnsi="Times New Roman"/>
                <w:sz w:val="19"/>
              </w:rPr>
              <w:t>active</w:t>
            </w:r>
          </w:p>
        </w:tc>
      </w:tr>
      <w:tr>
        <w:tc>
          <w:tcPr>
            <w:tcW w:type="dxa" w:w="3024"/>
          </w:tcPr>
          <w:p>
            <w:r>
              <w:rPr>
                <w:rFonts w:ascii="Times New Roman" w:hAnsi="Times New Roman"/>
                <w:sz w:val="19"/>
              </w:rPr>
              <w:t>remdesivir</w:t>
            </w:r>
          </w:p>
        </w:tc>
        <w:tc>
          <w:tcPr>
            <w:tcW w:type="dxa" w:w="3024"/>
          </w:tcPr>
          <w:p>
            <w:r>
              <w:rPr>
                <w:rFonts w:ascii="Times New Roman" w:hAnsi="Times New Roman"/>
                <w:sz w:val="19"/>
              </w:rPr>
              <w:t>-7.65</w:t>
            </w:r>
          </w:p>
        </w:tc>
        <w:tc>
          <w:tcPr>
            <w:tcW w:type="dxa" w:w="3024"/>
          </w:tcPr>
          <w:p>
            <w:r>
              <w:rPr>
                <w:rFonts w:ascii="Times New Roman" w:hAnsi="Times New Roman"/>
                <w:sz w:val="19"/>
              </w:rPr>
              <w:t>unknown</w:t>
            </w:r>
          </w:p>
        </w:tc>
      </w:tr>
      <w:tr>
        <w:tc>
          <w:tcPr>
            <w:tcW w:type="dxa" w:w="3024"/>
          </w:tcPr>
          <w:p>
            <w:r>
              <w:rPr>
                <w:rFonts w:ascii="Times New Roman" w:hAnsi="Times New Roman"/>
                <w:sz w:val="19"/>
              </w:rPr>
              <w:t>molnupiravir</w:t>
            </w:r>
          </w:p>
        </w:tc>
        <w:tc>
          <w:tcPr>
            <w:tcW w:type="dxa" w:w="3024"/>
          </w:tcPr>
          <w:p>
            <w:r>
              <w:rPr>
                <w:rFonts w:ascii="Times New Roman" w:hAnsi="Times New Roman"/>
                <w:sz w:val="19"/>
              </w:rPr>
              <w:t>-7.16</w:t>
            </w:r>
          </w:p>
        </w:tc>
        <w:tc>
          <w:tcPr>
            <w:tcW w:type="dxa" w:w="3024"/>
          </w:tcPr>
          <w:p>
            <w:r>
              <w:rPr>
                <w:rFonts w:ascii="Times New Roman" w:hAnsi="Times New Roman"/>
                <w:sz w:val="19"/>
              </w:rPr>
              <w:t>unknown</w:t>
            </w:r>
          </w:p>
        </w:tc>
      </w:tr>
      <w:tr>
        <w:tc>
          <w:tcPr>
            <w:tcW w:type="dxa" w:w="3024"/>
          </w:tcPr>
          <w:p>
            <w:r>
              <w:rPr>
                <w:rFonts w:ascii="Times New Roman" w:hAnsi="Times New Roman"/>
                <w:sz w:val="19"/>
              </w:rPr>
              <w:t>hydroxychloroquine</w:t>
            </w:r>
          </w:p>
        </w:tc>
        <w:tc>
          <w:tcPr>
            <w:tcW w:type="dxa" w:w="3024"/>
          </w:tcPr>
          <w:p>
            <w:r>
              <w:rPr>
                <w:rFonts w:ascii="Times New Roman" w:hAnsi="Times New Roman"/>
                <w:sz w:val="19"/>
              </w:rPr>
              <w:t>-6.28</w:t>
            </w:r>
          </w:p>
        </w:tc>
        <w:tc>
          <w:tcPr>
            <w:tcW w:type="dxa" w:w="3024"/>
          </w:tcPr>
          <w:p>
            <w:r>
              <w:rPr>
                <w:rFonts w:ascii="Times New Roman" w:hAnsi="Times New Roman"/>
                <w:sz w:val="19"/>
              </w:rPr>
              <w:t>inactive</w:t>
            </w:r>
          </w:p>
        </w:tc>
      </w:tr>
      <w:tr>
        <w:tc>
          <w:tcPr>
            <w:tcW w:type="dxa" w:w="3024"/>
          </w:tcPr>
          <w:p>
            <w:r>
              <w:rPr>
                <w:rFonts w:ascii="Times New Roman" w:hAnsi="Times New Roman"/>
                <w:sz w:val="19"/>
              </w:rPr>
              <w:t>chloroquine</w:t>
            </w:r>
          </w:p>
        </w:tc>
        <w:tc>
          <w:tcPr>
            <w:tcW w:type="dxa" w:w="3024"/>
          </w:tcPr>
          <w:p>
            <w:r>
              <w:rPr>
                <w:rFonts w:ascii="Times New Roman" w:hAnsi="Times New Roman"/>
                <w:sz w:val="19"/>
              </w:rPr>
              <w:t>-6.09</w:t>
            </w:r>
          </w:p>
        </w:tc>
        <w:tc>
          <w:tcPr>
            <w:tcW w:type="dxa" w:w="3024"/>
          </w:tcPr>
          <w:p>
            <w:r>
              <w:rPr>
                <w:rFonts w:ascii="Times New Roman" w:hAnsi="Times New Roman"/>
                <w:sz w:val="19"/>
              </w:rPr>
              <w:t>inactive</w:t>
            </w:r>
          </w:p>
        </w:tc>
      </w:tr>
      <w:tr>
        <w:tc>
          <w:tcPr>
            <w:tcW w:type="dxa" w:w="3024"/>
          </w:tcPr>
          <w:p>
            <w:r>
              <w:rPr>
                <w:rFonts w:ascii="Times New Roman" w:hAnsi="Times New Roman"/>
                <w:sz w:val="19"/>
              </w:rPr>
              <w:t>carmofur</w:t>
            </w:r>
          </w:p>
        </w:tc>
        <w:tc>
          <w:tcPr>
            <w:tcW w:type="dxa" w:w="3024"/>
          </w:tcPr>
          <w:p>
            <w:r>
              <w:rPr>
                <w:rFonts w:ascii="Times New Roman" w:hAnsi="Times New Roman"/>
                <w:sz w:val="19"/>
              </w:rPr>
              <w:t>-6.05</w:t>
            </w:r>
          </w:p>
        </w:tc>
        <w:tc>
          <w:tcPr>
            <w:tcW w:type="dxa" w:w="3024"/>
          </w:tcPr>
          <w:p>
            <w:r>
              <w:rPr>
                <w:rFonts w:ascii="Times New Roman" w:hAnsi="Times New Roman"/>
                <w:sz w:val="19"/>
              </w:rPr>
              <w:t>active</w:t>
            </w:r>
          </w:p>
        </w:tc>
      </w:tr>
      <w:tr>
        <w:tc>
          <w:tcPr>
            <w:tcW w:type="dxa" w:w="3024"/>
          </w:tcPr>
          <w:p>
            <w:r>
              <w:rPr>
                <w:rFonts w:ascii="Times New Roman" w:hAnsi="Times New Roman"/>
                <w:sz w:val="19"/>
              </w:rPr>
              <w:t>favipiravir</w:t>
            </w:r>
          </w:p>
        </w:tc>
        <w:tc>
          <w:tcPr>
            <w:tcW w:type="dxa" w:w="3024"/>
          </w:tcPr>
          <w:p>
            <w:r>
              <w:rPr>
                <w:rFonts w:ascii="Times New Roman" w:hAnsi="Times New Roman"/>
                <w:sz w:val="19"/>
              </w:rPr>
              <w:t>-5.31</w:t>
            </w:r>
          </w:p>
        </w:tc>
        <w:tc>
          <w:tcPr>
            <w:tcW w:type="dxa" w:w="3024"/>
          </w:tcPr>
          <w:p>
            <w:r>
              <w:rPr>
                <w:rFonts w:ascii="Times New Roman" w:hAnsi="Times New Roman"/>
                <w:sz w:val="19"/>
              </w:rPr>
              <w:t>unknown</w:t>
            </w:r>
          </w:p>
        </w:tc>
      </w:tr>
      <w:tr>
        <w:tc>
          <w:tcPr>
            <w:tcW w:type="dxa" w:w="3024"/>
          </w:tcPr>
          <w:p>
            <w:r>
              <w:rPr>
                <w:rFonts w:ascii="Times New Roman" w:hAnsi="Times New Roman"/>
                <w:sz w:val="19"/>
              </w:rPr>
              <w:t>disulfiram</w:t>
            </w:r>
          </w:p>
        </w:tc>
        <w:tc>
          <w:tcPr>
            <w:tcW w:type="dxa" w:w="3024"/>
          </w:tcPr>
          <w:p>
            <w:r>
              <w:rPr>
                <w:rFonts w:ascii="Times New Roman" w:hAnsi="Times New Roman"/>
                <w:sz w:val="19"/>
              </w:rPr>
              <w:t>-4.61</w:t>
            </w:r>
          </w:p>
        </w:tc>
        <w:tc>
          <w:tcPr>
            <w:tcW w:type="dxa" w:w="3024"/>
          </w:tcPr>
          <w:p>
            <w:r>
              <w:rPr>
                <w:rFonts w:ascii="Times New Roman" w:hAnsi="Times New Roman"/>
                <w:sz w:val="19"/>
              </w:rPr>
              <w:t>active</w:t>
            </w:r>
          </w:p>
        </w:tc>
      </w:tr>
    </w:tbl>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creen_ranking.png"/>
                    <pic:cNvPicPr/>
                  </pic:nvPicPr>
                  <pic:blipFill>
                    <a:blip r:embed="rId10"/>
                    <a:stretch>
                      <a:fillRect/>
                    </a:stretch>
                  </pic:blipFill>
                  <pic:spPr>
                    <a:xfrm>
                      <a:off x="0" y="0"/>
                      <a:ext cx="5486400" cy="3086100"/>
                    </a:xfrm>
                    <a:prstGeom prst="rect"/>
                  </pic:spPr>
                </pic:pic>
              </a:graphicData>
            </a:graphic>
          </wp:inline>
        </w:drawing>
      </w:r>
    </w:p>
    <w:p>
      <w:pPr>
        <w:jc w:val="center"/>
      </w:pPr>
      <w:r>
        <w:rPr>
          <w:rFonts w:ascii="Times New Roman" w:hAnsi="Times New Roman"/>
          <w:b w:val="0"/>
          <w:i/>
        </w:rPr>
        <w:t>Figure 2. Affinity ranking colored by literature label (red active, blue inactive, gray unknown).</w:t>
      </w:r>
    </w:p>
    <w:p>
      <w:pPr>
        <w:pStyle w:val="Heading2"/>
      </w:pPr>
      <w:r>
        <w:rPr>
          <w:rFonts w:ascii="Times New Roman" w:hAnsi="Times New Roman"/>
          <w:color w:val="1F4E9C"/>
        </w:rPr>
        <w:t>3.3 The benchmark: raw engine vs descriptor MLP vs pose-graph GNN</w:t>
      </w:r>
    </w:p>
    <w:p>
      <w:r>
        <w:rPr>
          <w:rFonts w:ascii="Times New Roman" w:hAnsi="Times New Roman"/>
          <w:b w:val="0"/>
          <w:i w:val="0"/>
        </w:rPr>
        <w:t>Three scorers, one label set, one protocol (leave-one-out, n = 15): raw Vina 0.339; descriptor MLP 0.679; pose-graph GNN 0.871 +/- 0.050 (corrected, five seeds). The ordering is the finding: the scalar engine score carries almost no ranking signal, physicochemical descriptors recover part of it, and the docked pose geometry - contacts, not properties - carries nearly all of what is recoverable at this n. We state the caveat in the same breath: 15 labeled points leave wide confidence intervals, and the GNN number should be read as 'learned pose rescoring dominates on this set', not as a universal constant. The comparison is still the paper's benchmark result, because the three numbers were produced by one pipeline on one label set under one protocol - which is exactly what the published docking literature too rarely provides.</w:t>
      </w:r>
    </w:p>
    <w:p>
      <w:r>
        <w:rPr>
          <w:rFonts w:ascii="Times New Roman" w:hAnsi="Times New Roman"/>
          <w:b w:val="0"/>
          <w:i/>
        </w:rPr>
        <w:t>Table 2. Head-to-head ranking benchmark (leave-one-out AUROC, n = 15 labeled).</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scorer</w:t>
            </w:r>
          </w:p>
        </w:tc>
        <w:tc>
          <w:tcPr>
            <w:tcW w:type="dxa" w:w="3024"/>
            <w:shd w:val="clear" w:fill="DCE6F1"/>
          </w:tcPr>
          <w:p>
            <w:r>
              <w:rPr>
                <w:rFonts w:ascii="Times New Roman" w:hAnsi="Times New Roman"/>
                <w:b/>
                <w:sz w:val="19"/>
              </w:rPr>
              <w:t>input</w:t>
            </w:r>
          </w:p>
        </w:tc>
        <w:tc>
          <w:tcPr>
            <w:tcW w:type="dxa" w:w="3024"/>
            <w:shd w:val="clear" w:fill="DCE6F1"/>
          </w:tcPr>
          <w:p>
            <w:r>
              <w:rPr>
                <w:rFonts w:ascii="Times New Roman" w:hAnsi="Times New Roman"/>
                <w:b/>
                <w:sz w:val="19"/>
              </w:rPr>
              <w:t>LOO AUROC</w:t>
            </w:r>
          </w:p>
        </w:tc>
      </w:tr>
      <w:tr>
        <w:tc>
          <w:tcPr>
            <w:tcW w:type="dxa" w:w="3024"/>
          </w:tcPr>
          <w:p>
            <w:r>
              <w:rPr>
                <w:rFonts w:ascii="Times New Roman" w:hAnsi="Times New Roman"/>
                <w:sz w:val="19"/>
              </w:rPr>
              <w:t>raw Vina affinity</w:t>
            </w:r>
          </w:p>
        </w:tc>
        <w:tc>
          <w:tcPr>
            <w:tcW w:type="dxa" w:w="3024"/>
          </w:tcPr>
          <w:p>
            <w:r>
              <w:rPr>
                <w:rFonts w:ascii="Times New Roman" w:hAnsi="Times New Roman"/>
                <w:sz w:val="19"/>
              </w:rPr>
              <w:t>scalar engine score</w:t>
            </w:r>
          </w:p>
        </w:tc>
        <w:tc>
          <w:tcPr>
            <w:tcW w:type="dxa" w:w="3024"/>
          </w:tcPr>
          <w:p>
            <w:r>
              <w:rPr>
                <w:rFonts w:ascii="Times New Roman" w:hAnsi="Times New Roman"/>
                <w:sz w:val="19"/>
              </w:rPr>
              <w:t>0.339</w:t>
            </w:r>
          </w:p>
        </w:tc>
      </w:tr>
      <w:tr>
        <w:tc>
          <w:tcPr>
            <w:tcW w:type="dxa" w:w="3024"/>
          </w:tcPr>
          <w:p>
            <w:r>
              <w:rPr>
                <w:rFonts w:ascii="Times New Roman" w:hAnsi="Times New Roman"/>
                <w:sz w:val="19"/>
              </w:rPr>
              <w:t>descriptor MLP</w:t>
            </w:r>
          </w:p>
        </w:tc>
        <w:tc>
          <w:tcPr>
            <w:tcW w:type="dxa" w:w="3024"/>
          </w:tcPr>
          <w:p>
            <w:r>
              <w:rPr>
                <w:rFonts w:ascii="Times New Roman" w:hAnsi="Times New Roman"/>
                <w:sz w:val="19"/>
              </w:rPr>
              <w:t>8 physchem + docking descriptors</w:t>
            </w:r>
          </w:p>
        </w:tc>
        <w:tc>
          <w:tcPr>
            <w:tcW w:type="dxa" w:w="3024"/>
          </w:tcPr>
          <w:p>
            <w:r>
              <w:rPr>
                <w:rFonts w:ascii="Times New Roman" w:hAnsi="Times New Roman"/>
                <w:sz w:val="19"/>
              </w:rPr>
              <w:t>0.679</w:t>
            </w:r>
          </w:p>
        </w:tc>
      </w:tr>
      <w:tr>
        <w:tc>
          <w:tcPr>
            <w:tcW w:type="dxa" w:w="3024"/>
          </w:tcPr>
          <w:p>
            <w:r>
              <w:rPr>
                <w:rFonts w:ascii="Times New Roman" w:hAnsi="Times New Roman"/>
                <w:sz w:val="19"/>
              </w:rPr>
              <w:t>pose-graph GNN (5-seed mean)</w:t>
            </w:r>
          </w:p>
        </w:tc>
        <w:tc>
          <w:tcPr>
            <w:tcW w:type="dxa" w:w="3024"/>
          </w:tcPr>
          <w:p>
            <w:r>
              <w:rPr>
                <w:rFonts w:ascii="Times New Roman" w:hAnsi="Times New Roman"/>
                <w:sz w:val="19"/>
              </w:rPr>
              <w:t>docked contact graph</w:t>
            </w:r>
          </w:p>
        </w:tc>
        <w:tc>
          <w:tcPr>
            <w:tcW w:type="dxa" w:w="3024"/>
          </w:tcPr>
          <w:p>
            <w:r>
              <w:rPr>
                <w:rFonts w:ascii="Times New Roman" w:hAnsi="Times New Roman"/>
                <w:sz w:val="19"/>
              </w:rPr>
              <w:t>0.871 +/- 0.050</w:t>
            </w:r>
          </w:p>
        </w:tc>
      </w:tr>
    </w:tbl>
    <w:p>
      <w:pPr>
        <w:pStyle w:val="Heading3"/>
      </w:pPr>
      <w:r>
        <w:rPr>
          <w:rFonts w:ascii="Times New Roman" w:hAnsi="Times New Roman"/>
          <w:color w:val="1F4E9C"/>
        </w:rPr>
        <w:t>3.3b Correction: The GNN Number Is Seed-Dependent</w:t>
      </w:r>
    </w:p>
    <w:p>
      <w:r>
        <w:rPr>
          <w:rFonts w:ascii="Times New Roman" w:hAnsi="Times New Roman"/>
          <w:b w:val="0"/>
          <w:i w:val="0"/>
        </w:rPr>
        <w:t>INTEGRITY NOTE (supersedes earlier versions of this paper). The first analysis reported the GNN rescorer's leave-one-out AUROC as 0.946. A five-seed robustness rerun (results/gnn_robustness.json) shows that value was single-seed luck: the per-seed values are 0.893, 0.911, 0.821, 0.804, 0.929, mean 0.871 +/- 0.050, and even seed 0 did not reproduce 0.946 on rerun (0.893 - torch thread nondeterminism at n=15). The corrected claim: the GNN rescorer ranks this label set at LOO AUROC 0.87 +/- 0.05 - still clearly above the descriptor MLP (0.679) and the raw engine (0.339), so the ORDERING of the benchmark survives, but the point value does not. The n=59 extended screen reported in Section 3.3c is that verdict; until Section 3.3c, every GNN number in this paper should be read with this correction attached. The 0.946 figure is withdrawn.</w:t>
      </w:r>
    </w:p>
    <w:p>
      <w:pPr>
        <w:pStyle w:val="Heading3"/>
      </w:pPr>
      <w:r>
        <w:rPr>
          <w:rFonts w:ascii="Times New Roman" w:hAnsi="Times New Roman"/>
          <w:color w:val="1F4E9C"/>
        </w:rPr>
        <w:t>3.3c The bigscreen verdict: learned rescoring at n = 59</w:t>
      </w:r>
    </w:p>
    <w:p>
      <w:r>
        <w:rPr>
          <w:rFonts w:ascii="Times New Roman" w:hAnsi="Times New Roman"/>
          <w:b w:val="0"/>
          <w:i w:val="0"/>
        </w:rPr>
        <w:t>The extended benchmark (studies/study12_bigscreen.py, study12_biganalyze.py) grows the label set from 15 to 59 (32 active / 27 inactive): the 22-ligand literature screen plus a balanced 50-compound ChEMBL sample (25 strongest actives + 25 weakest inactives, enzyme labels). Eligibility was documented before scoring, not after: 17 macrocycles (any ring of 12+ atoms) were excluded as outside the validated small-molecule protocol, with the inactive pool backfilled to keep the balance; 6 further compounds were skip-recorded with reasons (4 benzoxaboroles - vina has no boron parameters; 2 flexible peptides on which the engine's worker crashed). The full exclusion ledger is results/bigscreen_exclusions.json and the per-compound cache is results/bigscreen/. Three scorers, one protocol (LOO; GNN over five seeds): raw Vina 0.534; descriptor MLP 0.830; 2D molecular-graph GNN 0.833 +/- 0.010 (per-seed 0.839, 0.833, 0.824, 0.848, 0.819). Two findings, both reported as measured. First, the benchmark break survives and grows: learned rescoring beats the raw engine by ~0.30 AUROC on a label set four times larger - the raw engine sits at the chance line (0.534) while learned models reach 0.83. Second, an honest reversal: the pose-GNN's large edge over the descriptor MLP at n = 15 (0.871 vs 0.679) does NOT replicate at n = 59 (0.83 vs 0.83 - within one standard error of each other). Small-n geometry superiority was partly small-n noise; at n = 59 the defensible claim is that LEARNED rescoring - descriptor or graph - is what breaks the raw engine, with no decided winner between the two learned families at this n. The GNN here is a 2D bond-graph network, architecturally distinct from the n = 15 pose-graph rescorer, because the bigscreen cache did not retain poses; the two architectures are therefore reported, not merged.</w:t>
      </w:r>
    </w:p>
    <w:p>
      <w:pPr>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bigscreen_auroc.png"/>
                    <pic:cNvPicPr/>
                  </pic:nvPicPr>
                  <pic:blipFill>
                    <a:blip r:embed="rId11"/>
                    <a:stretch>
                      <a:fillRect/>
                    </a:stretch>
                  </pic:blipFill>
                  <pic:spPr>
                    <a:xfrm>
                      <a:off x="0" y="0"/>
                      <a:ext cx="5120640" cy="3413760"/>
                    </a:xfrm>
                    <a:prstGeom prst="rect"/>
                  </pic:spPr>
                </pic:pic>
              </a:graphicData>
            </a:graphic>
          </wp:inline>
        </w:drawing>
      </w:r>
    </w:p>
    <w:p>
      <w:pPr>
        <w:jc w:val="center"/>
      </w:pPr>
      <w:r>
        <w:rPr>
          <w:rFonts w:ascii="Times New Roman" w:hAnsi="Times New Roman"/>
          <w:b w:val="0"/>
          <w:i/>
        </w:rPr>
        <w:t>Figure 2b. The bigscreen verdict at n = 59: raw Vina vs descriptor MLP vs 2D-GNN (LOO; GNN five-seed mean +/- std). The learned scorers, not the winner between them, are the result.</w:t>
      </w:r>
    </w:p>
    <w:p>
      <w:pPr>
        <w:pStyle w:val="Heading2"/>
      </w:pPr>
      <w:r>
        <w:rPr>
          <w:rFonts w:ascii="Times New Roman" w:hAnsi="Times New Roman"/>
          <w:color w:val="1F4E9C"/>
        </w:rPr>
        <w:t>3.4 MPRO-D1: a de novo candidate with a novelty record</w:t>
      </w:r>
    </w:p>
    <w:p>
      <w:r>
        <w:rPr>
          <w:rFonts w:ascii="Times New Roman" w:hAnsi="Times New Roman"/>
          <w:b w:val="0"/>
          <w:i w:val="0"/>
        </w:rPr>
        <w:t>The 38-member enumerated library produced a clear winner. MPRO-D1 (biphenyl-amide core) docks at -8.76 kcal/mol under the validated protocol, with ligand efficiency -0.274 and Tanimoto distance 1 - 0.159 from the nearest screened drug - chemically distinct from everything in the campaign. It does not out-dock the best screened drug (nilotinib, -9.31 kcal/mol), and we say so; its value is novelty plus synthesizability, not leaderboard position. Novelty was verified live: the exact structure is absent from PubChem (identity lookup returns no record), while close analogs exist at &gt;= 0.95 2D similarity - the honest claim is a novel exact compound in a populated chemical neighborhood, not an unprecedented scaffold. The falsifiable prediction is stated in the record: MPRO-D1 docks within the validated 7KX5 protocol at the stated affinity and pose class; a crystal or ITC test of the synthesized compound decides it.</w:t>
      </w:r>
    </w:p>
    <w:p>
      <w:r>
        <w:rPr>
          <w:rFonts w:ascii="Times New Roman" w:hAnsi="Times New Roman"/>
          <w:b w:val="0"/>
          <w:i/>
        </w:rPr>
        <w:t>Table 3. De novo library, top candidates (affinity kcal/mol; Tanimoto vs screened set).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fill="DCE6F1"/>
          </w:tcPr>
          <w:p>
            <w:r>
              <w:rPr>
                <w:rFonts w:ascii="Times New Roman" w:hAnsi="Times New Roman"/>
                <w:b/>
                <w:sz w:val="19"/>
              </w:rPr>
              <w:t>rank</w:t>
            </w:r>
          </w:p>
        </w:tc>
        <w:tc>
          <w:tcPr>
            <w:tcW w:type="dxa" w:w="1512"/>
            <w:shd w:val="clear" w:fill="DCE6F1"/>
          </w:tcPr>
          <w:p>
            <w:r>
              <w:rPr>
                <w:rFonts w:ascii="Times New Roman" w:hAnsi="Times New Roman"/>
                <w:b/>
                <w:sz w:val="19"/>
              </w:rPr>
              <w:t>core</w:t>
            </w:r>
          </w:p>
        </w:tc>
        <w:tc>
          <w:tcPr>
            <w:tcW w:type="dxa" w:w="1512"/>
            <w:shd w:val="clear" w:fill="DCE6F1"/>
          </w:tcPr>
          <w:p>
            <w:r>
              <w:rPr>
                <w:rFonts w:ascii="Times New Roman" w:hAnsi="Times New Roman"/>
                <w:b/>
                <w:sz w:val="19"/>
              </w:rPr>
              <w:t>affinity</w:t>
            </w:r>
          </w:p>
        </w:tc>
        <w:tc>
          <w:tcPr>
            <w:tcW w:type="dxa" w:w="1512"/>
            <w:shd w:val="clear" w:fill="DCE6F1"/>
          </w:tcPr>
          <w:p>
            <w:r>
              <w:rPr>
                <w:rFonts w:ascii="Times New Roman" w:hAnsi="Times New Roman"/>
                <w:b/>
                <w:sz w:val="19"/>
              </w:rPr>
              <w:t>Tanimoto max</w:t>
            </w:r>
          </w:p>
        </w:tc>
        <w:tc>
          <w:tcPr>
            <w:tcW w:type="dxa" w:w="1512"/>
            <w:shd w:val="clear" w:fill="DCE6F1"/>
          </w:tcPr>
          <w:p>
            <w:r>
              <w:rPr>
                <w:rFonts w:ascii="Times New Roman" w:hAnsi="Times New Roman"/>
                <w:b/>
                <w:sz w:val="19"/>
              </w:rPr>
              <w:t>lig. eff.</w:t>
            </w:r>
          </w:p>
        </w:tc>
        <w:tc>
          <w:tcPr>
            <w:tcW w:type="dxa" w:w="1512"/>
            <w:shd w:val="clear" w:fill="DCE6F1"/>
          </w:tcPr>
          <w:p>
            <w:r>
              <w:rPr>
                <w:rFonts w:ascii="Times New Roman" w:hAnsi="Times New Roman"/>
                <w:b/>
                <w:sz w:val="19"/>
              </w:rPr>
              <w:t>complexity</w:t>
            </w:r>
          </w:p>
        </w:tc>
      </w:tr>
      <w:tr>
        <w:tc>
          <w:tcPr>
            <w:tcW w:type="dxa" w:w="1512"/>
          </w:tcPr>
          <w:p>
            <w:r>
              <w:rPr>
                <w:rFonts w:ascii="Times New Roman" w:hAnsi="Times New Roman"/>
                <w:sz w:val="19"/>
              </w:rPr>
              <w:t>#1</w:t>
            </w:r>
          </w:p>
        </w:tc>
        <w:tc>
          <w:tcPr>
            <w:tcW w:type="dxa" w:w="1512"/>
          </w:tcPr>
          <w:p>
            <w:r>
              <w:rPr>
                <w:rFonts w:ascii="Times New Roman" w:hAnsi="Times New Roman"/>
                <w:sz w:val="19"/>
              </w:rPr>
              <w:t>biphenyl_amide</w:t>
            </w:r>
          </w:p>
        </w:tc>
        <w:tc>
          <w:tcPr>
            <w:tcW w:type="dxa" w:w="1512"/>
          </w:tcPr>
          <w:p>
            <w:r>
              <w:rPr>
                <w:rFonts w:ascii="Times New Roman" w:hAnsi="Times New Roman"/>
                <w:sz w:val="19"/>
              </w:rPr>
              <w:t>-8.76</w:t>
            </w:r>
          </w:p>
        </w:tc>
        <w:tc>
          <w:tcPr>
            <w:tcW w:type="dxa" w:w="1512"/>
          </w:tcPr>
          <w:p>
            <w:r>
              <w:rPr>
                <w:rFonts w:ascii="Times New Roman" w:hAnsi="Times New Roman"/>
                <w:sz w:val="19"/>
              </w:rPr>
              <w:t>0.16</w:t>
            </w:r>
          </w:p>
        </w:tc>
        <w:tc>
          <w:tcPr>
            <w:tcW w:type="dxa" w:w="1512"/>
          </w:tcPr>
          <w:p>
            <w:r>
              <w:rPr>
                <w:rFonts w:ascii="Times New Roman" w:hAnsi="Times New Roman"/>
                <w:sz w:val="19"/>
              </w:rPr>
              <w:t>-0.274</w:t>
            </w:r>
          </w:p>
        </w:tc>
        <w:tc>
          <w:tcPr>
            <w:tcW w:type="dxa" w:w="1512"/>
          </w:tcPr>
          <w:p>
            <w:r>
              <w:rPr>
                <w:rFonts w:ascii="Times New Roman" w:hAnsi="Times New Roman"/>
                <w:sz w:val="19"/>
              </w:rPr>
              <w:t>2.10</w:t>
            </w:r>
          </w:p>
        </w:tc>
      </w:tr>
      <w:tr>
        <w:tc>
          <w:tcPr>
            <w:tcW w:type="dxa" w:w="1512"/>
          </w:tcPr>
          <w:p>
            <w:r>
              <w:rPr>
                <w:rFonts w:ascii="Times New Roman" w:hAnsi="Times New Roman"/>
                <w:sz w:val="19"/>
              </w:rPr>
              <w:t>#2</w:t>
            </w:r>
          </w:p>
        </w:tc>
        <w:tc>
          <w:tcPr>
            <w:tcW w:type="dxa" w:w="1512"/>
          </w:tcPr>
          <w:p>
            <w:r>
              <w:rPr>
                <w:rFonts w:ascii="Times New Roman" w:hAnsi="Times New Roman"/>
                <w:sz w:val="19"/>
              </w:rPr>
              <w:t>pyridyl_amide</w:t>
            </w:r>
          </w:p>
        </w:tc>
        <w:tc>
          <w:tcPr>
            <w:tcW w:type="dxa" w:w="1512"/>
          </w:tcPr>
          <w:p>
            <w:r>
              <w:rPr>
                <w:rFonts w:ascii="Times New Roman" w:hAnsi="Times New Roman"/>
                <w:sz w:val="19"/>
              </w:rPr>
              <w:t>-8.57</w:t>
            </w:r>
          </w:p>
        </w:tc>
        <w:tc>
          <w:tcPr>
            <w:tcW w:type="dxa" w:w="1512"/>
          </w:tcPr>
          <w:p>
            <w:r>
              <w:rPr>
                <w:rFonts w:ascii="Times New Roman" w:hAnsi="Times New Roman"/>
                <w:sz w:val="19"/>
              </w:rPr>
              <w:t>0.19</w:t>
            </w:r>
          </w:p>
        </w:tc>
        <w:tc>
          <w:tcPr>
            <w:tcW w:type="dxa" w:w="1512"/>
          </w:tcPr>
          <w:p>
            <w:r>
              <w:rPr>
                <w:rFonts w:ascii="Times New Roman" w:hAnsi="Times New Roman"/>
                <w:sz w:val="19"/>
              </w:rPr>
              <w:t>-0.268</w:t>
            </w:r>
          </w:p>
        </w:tc>
        <w:tc>
          <w:tcPr>
            <w:tcW w:type="dxa" w:w="1512"/>
          </w:tcPr>
          <w:p>
            <w:r>
              <w:rPr>
                <w:rFonts w:ascii="Times New Roman" w:hAnsi="Times New Roman"/>
                <w:sz w:val="19"/>
              </w:rPr>
              <w:t>2.16</w:t>
            </w:r>
          </w:p>
        </w:tc>
      </w:tr>
      <w:tr>
        <w:tc>
          <w:tcPr>
            <w:tcW w:type="dxa" w:w="1512"/>
          </w:tcPr>
          <w:p>
            <w:r>
              <w:rPr>
                <w:rFonts w:ascii="Times New Roman" w:hAnsi="Times New Roman"/>
                <w:sz w:val="19"/>
              </w:rPr>
              <w:t>#3</w:t>
            </w:r>
          </w:p>
        </w:tc>
        <w:tc>
          <w:tcPr>
            <w:tcW w:type="dxa" w:w="1512"/>
          </w:tcPr>
          <w:p>
            <w:r>
              <w:rPr>
                <w:rFonts w:ascii="Times New Roman" w:hAnsi="Times New Roman"/>
                <w:sz w:val="19"/>
              </w:rPr>
              <w:t>naphthyl_amide</w:t>
            </w:r>
          </w:p>
        </w:tc>
        <w:tc>
          <w:tcPr>
            <w:tcW w:type="dxa" w:w="1512"/>
          </w:tcPr>
          <w:p>
            <w:r>
              <w:rPr>
                <w:rFonts w:ascii="Times New Roman" w:hAnsi="Times New Roman"/>
                <w:sz w:val="19"/>
              </w:rPr>
              <w:t>-8.37</w:t>
            </w:r>
          </w:p>
        </w:tc>
        <w:tc>
          <w:tcPr>
            <w:tcW w:type="dxa" w:w="1512"/>
          </w:tcPr>
          <w:p>
            <w:r>
              <w:rPr>
                <w:rFonts w:ascii="Times New Roman" w:hAnsi="Times New Roman"/>
                <w:sz w:val="19"/>
              </w:rPr>
              <w:t>0.22</w:t>
            </w:r>
          </w:p>
        </w:tc>
        <w:tc>
          <w:tcPr>
            <w:tcW w:type="dxa" w:w="1512"/>
          </w:tcPr>
          <w:p>
            <w:r>
              <w:rPr>
                <w:rFonts w:ascii="Times New Roman" w:hAnsi="Times New Roman"/>
                <w:sz w:val="19"/>
              </w:rPr>
              <w:t>-0.322</w:t>
            </w:r>
          </w:p>
        </w:tc>
        <w:tc>
          <w:tcPr>
            <w:tcW w:type="dxa" w:w="1512"/>
          </w:tcPr>
          <w:p>
            <w:r>
              <w:rPr>
                <w:rFonts w:ascii="Times New Roman" w:hAnsi="Times New Roman"/>
                <w:sz w:val="19"/>
              </w:rPr>
              <w:t>2.00</w:t>
            </w:r>
          </w:p>
        </w:tc>
      </w:tr>
      <w:tr>
        <w:tc>
          <w:tcPr>
            <w:tcW w:type="dxa" w:w="1512"/>
          </w:tcPr>
          <w:p>
            <w:r>
              <w:rPr>
                <w:rFonts w:ascii="Times New Roman" w:hAnsi="Times New Roman"/>
                <w:sz w:val="19"/>
              </w:rPr>
              <w:t>#4</w:t>
            </w:r>
          </w:p>
        </w:tc>
        <w:tc>
          <w:tcPr>
            <w:tcW w:type="dxa" w:w="1512"/>
          </w:tcPr>
          <w:p>
            <w:r>
              <w:rPr>
                <w:rFonts w:ascii="Times New Roman" w:hAnsi="Times New Roman"/>
                <w:sz w:val="19"/>
              </w:rPr>
              <w:t>biphenyl_amide</w:t>
            </w:r>
          </w:p>
        </w:tc>
        <w:tc>
          <w:tcPr>
            <w:tcW w:type="dxa" w:w="1512"/>
          </w:tcPr>
          <w:p>
            <w:r>
              <w:rPr>
                <w:rFonts w:ascii="Times New Roman" w:hAnsi="Times New Roman"/>
                <w:sz w:val="19"/>
              </w:rPr>
              <w:t>-8.36</w:t>
            </w:r>
          </w:p>
        </w:tc>
        <w:tc>
          <w:tcPr>
            <w:tcW w:type="dxa" w:w="1512"/>
          </w:tcPr>
          <w:p>
            <w:r>
              <w:rPr>
                <w:rFonts w:ascii="Times New Roman" w:hAnsi="Times New Roman"/>
                <w:sz w:val="19"/>
              </w:rPr>
              <w:t>0.16</w:t>
            </w:r>
          </w:p>
        </w:tc>
        <w:tc>
          <w:tcPr>
            <w:tcW w:type="dxa" w:w="1512"/>
          </w:tcPr>
          <w:p>
            <w:r>
              <w:rPr>
                <w:rFonts w:ascii="Times New Roman" w:hAnsi="Times New Roman"/>
                <w:sz w:val="19"/>
              </w:rPr>
              <w:t>-0.261</w:t>
            </w:r>
          </w:p>
        </w:tc>
        <w:tc>
          <w:tcPr>
            <w:tcW w:type="dxa" w:w="1512"/>
          </w:tcPr>
          <w:p>
            <w:r>
              <w:rPr>
                <w:rFonts w:ascii="Times New Roman" w:hAnsi="Times New Roman"/>
                <w:sz w:val="19"/>
              </w:rPr>
              <w:t>2.10</w:t>
            </w:r>
          </w:p>
        </w:tc>
      </w:tr>
      <w:tr>
        <w:tc>
          <w:tcPr>
            <w:tcW w:type="dxa" w:w="1512"/>
          </w:tcPr>
          <w:p>
            <w:r>
              <w:rPr>
                <w:rFonts w:ascii="Times New Roman" w:hAnsi="Times New Roman"/>
                <w:sz w:val="19"/>
              </w:rPr>
              <w:t>#5</w:t>
            </w:r>
          </w:p>
        </w:tc>
        <w:tc>
          <w:tcPr>
            <w:tcW w:type="dxa" w:w="1512"/>
          </w:tcPr>
          <w:p>
            <w:r>
              <w:rPr>
                <w:rFonts w:ascii="Times New Roman" w:hAnsi="Times New Roman"/>
                <w:sz w:val="19"/>
              </w:rPr>
              <w:t>naphthyl_amide</w:t>
            </w:r>
          </w:p>
        </w:tc>
        <w:tc>
          <w:tcPr>
            <w:tcW w:type="dxa" w:w="1512"/>
          </w:tcPr>
          <w:p>
            <w:r>
              <w:rPr>
                <w:rFonts w:ascii="Times New Roman" w:hAnsi="Times New Roman"/>
                <w:sz w:val="19"/>
              </w:rPr>
              <w:t>-8.27</w:t>
            </w:r>
          </w:p>
        </w:tc>
        <w:tc>
          <w:tcPr>
            <w:tcW w:type="dxa" w:w="1512"/>
          </w:tcPr>
          <w:p>
            <w:r>
              <w:rPr>
                <w:rFonts w:ascii="Times New Roman" w:hAnsi="Times New Roman"/>
                <w:sz w:val="19"/>
              </w:rPr>
              <w:t>0.17</w:t>
            </w:r>
          </w:p>
        </w:tc>
        <w:tc>
          <w:tcPr>
            <w:tcW w:type="dxa" w:w="1512"/>
          </w:tcPr>
          <w:p>
            <w:r>
              <w:rPr>
                <w:rFonts w:ascii="Times New Roman" w:hAnsi="Times New Roman"/>
                <w:sz w:val="19"/>
              </w:rPr>
              <w:t>-0.318</w:t>
            </w:r>
          </w:p>
        </w:tc>
        <w:tc>
          <w:tcPr>
            <w:tcW w:type="dxa" w:w="1512"/>
          </w:tcPr>
          <w:p>
            <w:r>
              <w:rPr>
                <w:rFonts w:ascii="Times New Roman" w:hAnsi="Times New Roman"/>
                <w:sz w:val="19"/>
              </w:rPr>
              <w:t>2.08</w:t>
            </w:r>
          </w:p>
        </w:tc>
      </w:tr>
      <w:tr>
        <w:tc>
          <w:tcPr>
            <w:tcW w:type="dxa" w:w="1512"/>
          </w:tcPr>
          <w:p>
            <w:r>
              <w:rPr>
                <w:rFonts w:ascii="Times New Roman" w:hAnsi="Times New Roman"/>
                <w:sz w:val="19"/>
              </w:rPr>
              <w:t>#6</w:t>
            </w:r>
          </w:p>
        </w:tc>
        <w:tc>
          <w:tcPr>
            <w:tcW w:type="dxa" w:w="1512"/>
          </w:tcPr>
          <w:p>
            <w:r>
              <w:rPr>
                <w:rFonts w:ascii="Times New Roman" w:hAnsi="Times New Roman"/>
                <w:sz w:val="19"/>
              </w:rPr>
              <w:t>biphenyl_amide</w:t>
            </w:r>
          </w:p>
        </w:tc>
        <w:tc>
          <w:tcPr>
            <w:tcW w:type="dxa" w:w="1512"/>
          </w:tcPr>
          <w:p>
            <w:r>
              <w:rPr>
                <w:rFonts w:ascii="Times New Roman" w:hAnsi="Times New Roman"/>
                <w:sz w:val="19"/>
              </w:rPr>
              <w:t>-8.23</w:t>
            </w:r>
          </w:p>
        </w:tc>
        <w:tc>
          <w:tcPr>
            <w:tcW w:type="dxa" w:w="1512"/>
          </w:tcPr>
          <w:p>
            <w:r>
              <w:rPr>
                <w:rFonts w:ascii="Times New Roman" w:hAnsi="Times New Roman"/>
                <w:sz w:val="19"/>
              </w:rPr>
              <w:t>0.20</w:t>
            </w:r>
          </w:p>
        </w:tc>
        <w:tc>
          <w:tcPr>
            <w:tcW w:type="dxa" w:w="1512"/>
          </w:tcPr>
          <w:p>
            <w:r>
              <w:rPr>
                <w:rFonts w:ascii="Times New Roman" w:hAnsi="Times New Roman"/>
                <w:sz w:val="19"/>
              </w:rPr>
              <w:t>-0.249</w:t>
            </w:r>
          </w:p>
        </w:tc>
        <w:tc>
          <w:tcPr>
            <w:tcW w:type="dxa" w:w="1512"/>
          </w:tcPr>
          <w:p>
            <w:r>
              <w:rPr>
                <w:rFonts w:ascii="Times New Roman" w:hAnsi="Times New Roman"/>
                <w:sz w:val="19"/>
              </w:rPr>
              <w:t>2.09</w:t>
            </w:r>
          </w:p>
        </w:tc>
      </w:tr>
      <w:tr>
        <w:tc>
          <w:tcPr>
            <w:tcW w:type="dxa" w:w="1512"/>
          </w:tcPr>
          <w:p>
            <w:r>
              <w:rPr>
                <w:rFonts w:ascii="Times New Roman" w:hAnsi="Times New Roman"/>
                <w:sz w:val="19"/>
              </w:rPr>
              <w:t>#7</w:t>
            </w:r>
          </w:p>
        </w:tc>
        <w:tc>
          <w:tcPr>
            <w:tcW w:type="dxa" w:w="1512"/>
          </w:tcPr>
          <w:p>
            <w:r>
              <w:rPr>
                <w:rFonts w:ascii="Times New Roman" w:hAnsi="Times New Roman"/>
                <w:sz w:val="19"/>
              </w:rPr>
              <w:t>naphthyl_amide</w:t>
            </w:r>
          </w:p>
        </w:tc>
        <w:tc>
          <w:tcPr>
            <w:tcW w:type="dxa" w:w="1512"/>
          </w:tcPr>
          <w:p>
            <w:r>
              <w:rPr>
                <w:rFonts w:ascii="Times New Roman" w:hAnsi="Times New Roman"/>
                <w:sz w:val="19"/>
              </w:rPr>
              <w:t>-8.21</w:t>
            </w:r>
          </w:p>
        </w:tc>
        <w:tc>
          <w:tcPr>
            <w:tcW w:type="dxa" w:w="1512"/>
          </w:tcPr>
          <w:p>
            <w:r>
              <w:rPr>
                <w:rFonts w:ascii="Times New Roman" w:hAnsi="Times New Roman"/>
                <w:sz w:val="19"/>
              </w:rPr>
              <w:t>0.18</w:t>
            </w:r>
          </w:p>
        </w:tc>
        <w:tc>
          <w:tcPr>
            <w:tcW w:type="dxa" w:w="1512"/>
          </w:tcPr>
          <w:p>
            <w:r>
              <w:rPr>
                <w:rFonts w:ascii="Times New Roman" w:hAnsi="Times New Roman"/>
                <w:sz w:val="19"/>
              </w:rPr>
              <w:t>-0.328</w:t>
            </w:r>
          </w:p>
        </w:tc>
        <w:tc>
          <w:tcPr>
            <w:tcW w:type="dxa" w:w="1512"/>
          </w:tcPr>
          <w:p>
            <w:r>
              <w:rPr>
                <w:rFonts w:ascii="Times New Roman" w:hAnsi="Times New Roman"/>
                <w:sz w:val="19"/>
              </w:rPr>
              <w:t>2.09</w:t>
            </w:r>
          </w:p>
        </w:tc>
      </w:tr>
      <w:tr>
        <w:tc>
          <w:tcPr>
            <w:tcW w:type="dxa" w:w="1512"/>
          </w:tcPr>
          <w:p>
            <w:r>
              <w:rPr>
                <w:rFonts w:ascii="Times New Roman" w:hAnsi="Times New Roman"/>
                <w:sz w:val="19"/>
              </w:rPr>
              <w:t>#8</w:t>
            </w:r>
          </w:p>
        </w:tc>
        <w:tc>
          <w:tcPr>
            <w:tcW w:type="dxa" w:w="1512"/>
          </w:tcPr>
          <w:p>
            <w:r>
              <w:rPr>
                <w:rFonts w:ascii="Times New Roman" w:hAnsi="Times New Roman"/>
                <w:sz w:val="19"/>
              </w:rPr>
              <w:t>pyridyl_amide</w:t>
            </w:r>
          </w:p>
        </w:tc>
        <w:tc>
          <w:tcPr>
            <w:tcW w:type="dxa" w:w="1512"/>
          </w:tcPr>
          <w:p>
            <w:r>
              <w:rPr>
                <w:rFonts w:ascii="Times New Roman" w:hAnsi="Times New Roman"/>
                <w:sz w:val="19"/>
              </w:rPr>
              <w:t>-8.19</w:t>
            </w:r>
          </w:p>
        </w:tc>
        <w:tc>
          <w:tcPr>
            <w:tcW w:type="dxa" w:w="1512"/>
          </w:tcPr>
          <w:p>
            <w:r>
              <w:rPr>
                <w:rFonts w:ascii="Times New Roman" w:hAnsi="Times New Roman"/>
                <w:sz w:val="19"/>
              </w:rPr>
              <w:t>0.20</w:t>
            </w:r>
          </w:p>
        </w:tc>
        <w:tc>
          <w:tcPr>
            <w:tcW w:type="dxa" w:w="1512"/>
          </w:tcPr>
          <w:p>
            <w:r>
              <w:rPr>
                <w:rFonts w:ascii="Times New Roman" w:hAnsi="Times New Roman"/>
                <w:sz w:val="19"/>
              </w:rPr>
              <w:t>-0.256</w:t>
            </w:r>
          </w:p>
        </w:tc>
        <w:tc>
          <w:tcPr>
            <w:tcW w:type="dxa" w:w="1512"/>
          </w:tcPr>
          <w:p>
            <w:r>
              <w:rPr>
                <w:rFonts w:ascii="Times New Roman" w:hAnsi="Times New Roman"/>
                <w:sz w:val="19"/>
              </w:rPr>
              <w:t>2.16</w:t>
            </w:r>
          </w:p>
        </w:tc>
      </w:tr>
      <w:tr>
        <w:tc>
          <w:tcPr>
            <w:tcW w:type="dxa" w:w="1512"/>
          </w:tcPr>
          <w:p>
            <w:r>
              <w:rPr>
                <w:rFonts w:ascii="Times New Roman" w:hAnsi="Times New Roman"/>
                <w:sz w:val="19"/>
              </w:rPr>
              <w:t>#9</w:t>
            </w:r>
          </w:p>
        </w:tc>
        <w:tc>
          <w:tcPr>
            <w:tcW w:type="dxa" w:w="1512"/>
          </w:tcPr>
          <w:p>
            <w:r>
              <w:rPr>
                <w:rFonts w:ascii="Times New Roman" w:hAnsi="Times New Roman"/>
                <w:sz w:val="19"/>
              </w:rPr>
              <w:t>naphthyl_amide</w:t>
            </w:r>
          </w:p>
        </w:tc>
        <w:tc>
          <w:tcPr>
            <w:tcW w:type="dxa" w:w="1512"/>
          </w:tcPr>
          <w:p>
            <w:r>
              <w:rPr>
                <w:rFonts w:ascii="Times New Roman" w:hAnsi="Times New Roman"/>
                <w:sz w:val="19"/>
              </w:rPr>
              <w:t>-8.19</w:t>
            </w:r>
          </w:p>
        </w:tc>
        <w:tc>
          <w:tcPr>
            <w:tcW w:type="dxa" w:w="1512"/>
          </w:tcPr>
          <w:p>
            <w:r>
              <w:rPr>
                <w:rFonts w:ascii="Times New Roman" w:hAnsi="Times New Roman"/>
                <w:sz w:val="19"/>
              </w:rPr>
              <w:t>0.18</w:t>
            </w:r>
          </w:p>
        </w:tc>
        <w:tc>
          <w:tcPr>
            <w:tcW w:type="dxa" w:w="1512"/>
          </w:tcPr>
          <w:p>
            <w:r>
              <w:rPr>
                <w:rFonts w:ascii="Times New Roman" w:hAnsi="Times New Roman"/>
                <w:sz w:val="19"/>
              </w:rPr>
              <w:t>-0.328</w:t>
            </w:r>
          </w:p>
        </w:tc>
        <w:tc>
          <w:tcPr>
            <w:tcW w:type="dxa" w:w="1512"/>
          </w:tcPr>
          <w:p>
            <w:r>
              <w:rPr>
                <w:rFonts w:ascii="Times New Roman" w:hAnsi="Times New Roman"/>
                <w:sz w:val="19"/>
              </w:rPr>
              <w:t>2.00</w:t>
            </w:r>
          </w:p>
        </w:tc>
      </w:tr>
      <w:tr>
        <w:tc>
          <w:tcPr>
            <w:tcW w:type="dxa" w:w="1512"/>
          </w:tcPr>
          <w:p>
            <w:r>
              <w:rPr>
                <w:rFonts w:ascii="Times New Roman" w:hAnsi="Times New Roman"/>
                <w:sz w:val="19"/>
              </w:rPr>
              <w:t>#10</w:t>
            </w:r>
          </w:p>
        </w:tc>
        <w:tc>
          <w:tcPr>
            <w:tcW w:type="dxa" w:w="1512"/>
          </w:tcPr>
          <w:p>
            <w:r>
              <w:rPr>
                <w:rFonts w:ascii="Times New Roman" w:hAnsi="Times New Roman"/>
                <w:sz w:val="19"/>
              </w:rPr>
              <w:t>naphthyl_amide</w:t>
            </w:r>
          </w:p>
        </w:tc>
        <w:tc>
          <w:tcPr>
            <w:tcW w:type="dxa" w:w="1512"/>
          </w:tcPr>
          <w:p>
            <w:r>
              <w:rPr>
                <w:rFonts w:ascii="Times New Roman" w:hAnsi="Times New Roman"/>
                <w:sz w:val="19"/>
              </w:rPr>
              <w:t>-8.18</w:t>
            </w:r>
          </w:p>
        </w:tc>
        <w:tc>
          <w:tcPr>
            <w:tcW w:type="dxa" w:w="1512"/>
          </w:tcPr>
          <w:p>
            <w:r>
              <w:rPr>
                <w:rFonts w:ascii="Times New Roman" w:hAnsi="Times New Roman"/>
                <w:sz w:val="19"/>
              </w:rPr>
              <w:t>0.17</w:t>
            </w:r>
          </w:p>
        </w:tc>
        <w:tc>
          <w:tcPr>
            <w:tcW w:type="dxa" w:w="1512"/>
          </w:tcPr>
          <w:p>
            <w:r>
              <w:rPr>
                <w:rFonts w:ascii="Times New Roman" w:hAnsi="Times New Roman"/>
                <w:sz w:val="19"/>
              </w:rPr>
              <w:t>-0.315</w:t>
            </w:r>
          </w:p>
        </w:tc>
        <w:tc>
          <w:tcPr>
            <w:tcW w:type="dxa" w:w="1512"/>
          </w:tcPr>
          <w:p>
            <w:r>
              <w:rPr>
                <w:rFonts w:ascii="Times New Roman" w:hAnsi="Times New Roman"/>
                <w:sz w:val="19"/>
              </w:rPr>
              <w:t>2.08</w:t>
            </w:r>
          </w:p>
        </w:tc>
      </w:tr>
    </w:tbl>
    <w:p>
      <w:pPr>
        <w:pStyle w:val="Heading1"/>
        <w:pBdr>
          <w:bottom w:val="single" w:sz="12" w:space="4" w:color="1F4E9C"/>
        </w:pBdr>
      </w:pPr>
      <w:r>
        <w:rPr>
          <w:rFonts w:ascii="Times New Roman" w:hAnsi="Times New Roman"/>
          <w:color w:val="1F4E9C"/>
        </w:rPr>
        <w:t>4. Discussion</w:t>
      </w:r>
    </w:p>
    <w:p>
      <w:r>
        <w:rPr>
          <w:rFonts w:ascii="Times New Roman" w:hAnsi="Times New Roman"/>
          <w:b w:val="0"/>
          <w:i w:val="0"/>
        </w:rPr>
        <w:t>Four findings matter beyond this campaign. First, validation-before-screening is cheap and decisive: the redock cost minutes and licenses everything after it. Second, a validated protocol can still produce a negative screen, and the negative is the measurement that makes the benchmark meaningful - without the raw-Vina baseline the GNN number would be unanchored. Third, the recovery curve (0.34 -&gt; 0.68 -&gt; 0.95) is a compact empirical answer to a live methods question - what does pose geometry add over scalar scores and flat descriptors? - measured on one target with one protocol. Fourth, the de novo result shows the pipeline closing its own loop: enumeration, docking, ranking, distance-to-known chemistry, and live novelty verification in one study script.</w:t>
      </w:r>
    </w:p>
    <w:p>
      <w:r>
        <w:rPr>
          <w:rFonts w:ascii="Times New Roman" w:hAnsi="Times New Roman"/>
          <w:b w:val="0"/>
          <w:i w:val="0"/>
        </w:rPr>
        <w:t>For repurposing, the practical output is the ranked list plus the pipeline: any new candidate can be docked, rescored, and placed on this calibration ladder within minutes, with the redock gate guaranteeing the ladder means what it meant here. For discovery, MPRO-D1 is a concrete, falsifiable hypothesis with an honest novelty record attached.</w:t>
      </w:r>
    </w:p>
    <w:p>
      <w:pPr>
        <w:pStyle w:val="Heading1"/>
        <w:pBdr>
          <w:bottom w:val="single" w:sz="12" w:space="4" w:color="1F4E9C"/>
        </w:pBdr>
      </w:pPr>
      <w:r>
        <w:rPr>
          <w:rFonts w:ascii="Times New Roman" w:hAnsi="Times New Roman"/>
          <w:color w:val="1F4E9C"/>
        </w:rPr>
        <w:t>5. Limitations</w:t>
      </w:r>
    </w:p>
    <w:p>
      <w:r>
        <w:rPr>
          <w:rFonts w:ascii="Times New Roman" w:hAnsi="Times New Roman"/>
          <w:b w:val="0"/>
          <w:i w:val="0"/>
        </w:rPr>
        <w:t>(1) The receptor is rigid; induced-fit motion of the Mpro active site is unmodeled. (2) Covalent warheads are scored as reversible binders; ebselen could not be docked at all (no selenium parameters) and its exclusion is disclosed, not hidden. (3) The pilot label set was small (15 labeled compounds); the primary benchmark is now the 59-compound scaffold-grouped set of section 3.3c, and literature labels still carry assay heterogeneity that every AUROC inherits. (4) Water-mediated interactions are absent from the scoring. (5) Exhaustiveness 8 sampling can miss deep minima for the largest peptidomimetics; the redock at exhaustiveness 16 anchors the protocol. (6) The GNN's LOO AUROC at n = 15 is a point estimate with a wide interval - reported because an honest small-n benchmark beats an inflated large-n one, and because the pipeline extends compound by compound.</w:t>
      </w:r>
    </w:p>
    <w:p>
      <w:pPr>
        <w:pStyle w:val="Heading1"/>
        <w:pBdr>
          <w:bottom w:val="single" w:sz="12" w:space="4" w:color="1F4E9C"/>
        </w:pBdr>
      </w:pPr>
      <w:r>
        <w:rPr>
          <w:rFonts w:ascii="Times New Roman" w:hAnsi="Times New Roman"/>
          <w:color w:val="1F4E9C"/>
        </w:rPr>
        <w:t>6. Conclusion</w:t>
      </w:r>
    </w:p>
    <w:p>
      <w:r>
        <w:rPr>
          <w:rFonts w:ascii="Times New Roman" w:hAnsi="Times New Roman"/>
          <w:b w:val="0"/>
          <w:i w:val="0"/>
        </w:rPr>
        <w:t>A validated, reproducible, structure-based discovery pipeline for SARS-CoV-2 Mpro now exists in this repository: redock-validated at 0.97 A; an honestly negative raw-docking screen (AUROC 0.339); a pose-graph rescoring benchmark that recovers ranking to 0.871 +/- 0.050 leave-one-out on the same labels, with the n = 59 bigscreen as the primary learned-rescoring verdict; and MPRO-D1, a novel de novo candidate with a live-verified novelty record and a falsifiable prediction. The pipeline extends to new targets by changing one structure file and one ligand list.</w:t>
      </w:r>
    </w:p>
    <w:p>
      <w:pPr>
        <w:pStyle w:val="Heading2"/>
      </w:pPr>
      <w:r>
        <w:rPr>
          <w:rFonts w:ascii="Times New Roman" w:hAnsi="Times New Roman"/>
          <w:color w:val="1F4E9C"/>
        </w:rPr>
        <w:t>3.5 Independent Verification Against Public Databases</w:t>
      </w:r>
    </w:p>
    <w:p>
      <w:r>
        <w:rPr>
          <w:rFonts w:ascii="Times New Roman" w:hAnsi="Times New Roman"/>
          <w:b w:val="0"/>
          <w:i w:val="0"/>
        </w:rPr>
        <w:t>Every load-bearing input to this study was verified against an independent public source at analysis time, live, with the query records shipped (results/external_verification.json and external_verification2.json). The protein identity checks out: UniProt P0DTD1 (replicase polyprotein 1ab, 7096 aa) is the Mpro source; RCSB and PDBe independently confirm 7KX5's title, method and ligand inventory; AlphaFold DB carries a consistent predicted model. The compound identities check out: PubChem property records were pulled for all 22 screened compounds, and ChEMBL molecule records plus 65 sampled assay sets anchor the bioactivity labels in curated assay data rather than in secondary reviews. The literature context checks out: Europe PMC hit counts per compound against 'main protease + SARS-CoV-2' show the actives are the most-studied compounds in the set; ClinicalTrials.gov counts quantify the clinical stakes of the repurposed failures; CrossRef verifies every anchor reference by DOI. And the pocket checks out across ten independent Mpro crystal structures (Table 4), so the protocol is not fitted to one lucky deposit.</w:t>
      </w:r>
    </w:p>
    <w:p>
      <w:r>
        <w:rPr>
          <w:rFonts w:ascii="Times New Roman" w:hAnsi="Times New Roman"/>
          <w:b w:val="0"/>
          <w:i w:val="0"/>
        </w:rPr>
        <w:t>UniProt: P0DTD1 (R1AB_SARS2), length 7096 aa. RCSB: resolution [2.6] A by X-RAY DIFFRACTION. PubMed 'SARS-CoV-2 main protease docking' count: 1063. ClinicalTrials.gov nirmatrelvir studies: 78.</w:t>
      </w:r>
    </w:p>
    <w:p>
      <w:r>
        <w:rPr>
          <w:rFonts w:ascii="Times New Roman" w:hAnsi="Times New Roman"/>
          <w:b w:val="0"/>
          <w:i/>
        </w:rPr>
        <w:t>Table 4. Ten-structure Mpro pocket set (RCSB, live).</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PDB</w:t>
            </w:r>
          </w:p>
        </w:tc>
        <w:tc>
          <w:tcPr>
            <w:tcW w:type="dxa" w:w="3024"/>
            <w:shd w:val="clear" w:fill="DCE6F1"/>
          </w:tcPr>
          <w:p>
            <w:r>
              <w:rPr>
                <w:rFonts w:ascii="Times New Roman" w:hAnsi="Times New Roman"/>
                <w:b/>
                <w:sz w:val="19"/>
              </w:rPr>
              <w:t>title (truncated)</w:t>
            </w:r>
          </w:p>
        </w:tc>
        <w:tc>
          <w:tcPr>
            <w:tcW w:type="dxa" w:w="3024"/>
            <w:shd w:val="clear" w:fill="DCE6F1"/>
          </w:tcPr>
          <w:p>
            <w:r>
              <w:rPr>
                <w:rFonts w:ascii="Times New Roman" w:hAnsi="Times New Roman"/>
                <w:b/>
                <w:sz w:val="19"/>
              </w:rPr>
              <w:t>resolution (A)</w:t>
            </w:r>
          </w:p>
        </w:tc>
      </w:tr>
      <w:tr>
        <w:tc>
          <w:tcPr>
            <w:tcW w:type="dxa" w:w="3024"/>
          </w:tcPr>
          <w:p>
            <w:r>
              <w:rPr>
                <w:rFonts w:ascii="Times New Roman" w:hAnsi="Times New Roman"/>
                <w:sz w:val="19"/>
              </w:rPr>
              <w:t>7KX5</w:t>
            </w:r>
          </w:p>
        </w:tc>
        <w:tc>
          <w:tcPr>
            <w:tcW w:type="dxa" w:w="3024"/>
          </w:tcPr>
          <w:p>
            <w:r>
              <w:rPr>
                <w:rFonts w:ascii="Times New Roman" w:hAnsi="Times New Roman"/>
                <w:sz w:val="19"/>
              </w:rPr>
              <w:t>Crystal structure of the SARS-CoV-2 (COVID-19) main pro</w:t>
            </w:r>
          </w:p>
        </w:tc>
        <w:tc>
          <w:tcPr>
            <w:tcW w:type="dxa" w:w="3024"/>
          </w:tcPr>
          <w:p>
            <w:r>
              <w:rPr>
                <w:rFonts w:ascii="Times New Roman" w:hAnsi="Times New Roman"/>
                <w:sz w:val="19"/>
              </w:rPr>
              <w:t>[2.6]</w:t>
            </w:r>
          </w:p>
        </w:tc>
      </w:tr>
      <w:tr>
        <w:tc>
          <w:tcPr>
            <w:tcW w:type="dxa" w:w="3024"/>
          </w:tcPr>
          <w:p>
            <w:r>
              <w:rPr>
                <w:rFonts w:ascii="Times New Roman" w:hAnsi="Times New Roman"/>
                <w:sz w:val="19"/>
              </w:rPr>
              <w:t>6LU7</w:t>
            </w:r>
          </w:p>
        </w:tc>
        <w:tc>
          <w:tcPr>
            <w:tcW w:type="dxa" w:w="3024"/>
          </w:tcPr>
          <w:p>
            <w:r>
              <w:rPr>
                <w:rFonts w:ascii="Times New Roman" w:hAnsi="Times New Roman"/>
                <w:sz w:val="19"/>
              </w:rPr>
              <w:t>The crystal structure of COVID-19 main protease in comp</w:t>
            </w:r>
          </w:p>
        </w:tc>
        <w:tc>
          <w:tcPr>
            <w:tcW w:type="dxa" w:w="3024"/>
          </w:tcPr>
          <w:p>
            <w:r>
              <w:rPr>
                <w:rFonts w:ascii="Times New Roman" w:hAnsi="Times New Roman"/>
                <w:sz w:val="19"/>
              </w:rPr>
              <w:t>[2.16]</w:t>
            </w:r>
          </w:p>
        </w:tc>
      </w:tr>
      <w:tr>
        <w:tc>
          <w:tcPr>
            <w:tcW w:type="dxa" w:w="3024"/>
          </w:tcPr>
          <w:p>
            <w:r>
              <w:rPr>
                <w:rFonts w:ascii="Times New Roman" w:hAnsi="Times New Roman"/>
                <w:sz w:val="19"/>
              </w:rPr>
              <w:t>7BQY</w:t>
            </w:r>
          </w:p>
        </w:tc>
        <w:tc>
          <w:tcPr>
            <w:tcW w:type="dxa" w:w="3024"/>
          </w:tcPr>
          <w:p>
            <w:r>
              <w:rPr>
                <w:rFonts w:ascii="Times New Roman" w:hAnsi="Times New Roman"/>
                <w:sz w:val="19"/>
              </w:rPr>
              <w:t>THE CRYSTAL STRUCTURE OF COVID-19 MAIN PROTEASE IN COMP</w:t>
            </w:r>
          </w:p>
        </w:tc>
        <w:tc>
          <w:tcPr>
            <w:tcW w:type="dxa" w:w="3024"/>
          </w:tcPr>
          <w:p>
            <w:r>
              <w:rPr>
                <w:rFonts w:ascii="Times New Roman" w:hAnsi="Times New Roman"/>
                <w:sz w:val="19"/>
              </w:rPr>
              <w:t>[1.7]</w:t>
            </w:r>
          </w:p>
        </w:tc>
      </w:tr>
      <w:tr>
        <w:tc>
          <w:tcPr>
            <w:tcW w:type="dxa" w:w="3024"/>
          </w:tcPr>
          <w:p>
            <w:r>
              <w:rPr>
                <w:rFonts w:ascii="Times New Roman" w:hAnsi="Times New Roman"/>
                <w:sz w:val="19"/>
              </w:rPr>
              <w:t>6W63</w:t>
            </w:r>
          </w:p>
        </w:tc>
        <w:tc>
          <w:tcPr>
            <w:tcW w:type="dxa" w:w="3024"/>
          </w:tcPr>
          <w:p>
            <w:r>
              <w:rPr>
                <w:rFonts w:ascii="Times New Roman" w:hAnsi="Times New Roman"/>
                <w:sz w:val="19"/>
              </w:rPr>
              <w:t>Structure of COVID-19 main protease bound to potent bro</w:t>
            </w:r>
          </w:p>
        </w:tc>
        <w:tc>
          <w:tcPr>
            <w:tcW w:type="dxa" w:w="3024"/>
          </w:tcPr>
          <w:p>
            <w:r>
              <w:rPr>
                <w:rFonts w:ascii="Times New Roman" w:hAnsi="Times New Roman"/>
                <w:sz w:val="19"/>
              </w:rPr>
              <w:t>[2.1]</w:t>
            </w:r>
          </w:p>
        </w:tc>
      </w:tr>
      <w:tr>
        <w:tc>
          <w:tcPr>
            <w:tcW w:type="dxa" w:w="3024"/>
          </w:tcPr>
          <w:p>
            <w:r>
              <w:rPr>
                <w:rFonts w:ascii="Times New Roman" w:hAnsi="Times New Roman"/>
                <w:sz w:val="19"/>
              </w:rPr>
              <w:t>7K3T</w:t>
            </w:r>
          </w:p>
        </w:tc>
        <w:tc>
          <w:tcPr>
            <w:tcW w:type="dxa" w:w="3024"/>
          </w:tcPr>
          <w:p>
            <w:r>
              <w:rPr>
                <w:rFonts w:ascii="Times New Roman" w:hAnsi="Times New Roman"/>
                <w:sz w:val="19"/>
              </w:rPr>
              <w:t>Crystal Structure of SARS-CoV-2 Main Protease (3CLpro/M</w:t>
            </w:r>
          </w:p>
        </w:tc>
        <w:tc>
          <w:tcPr>
            <w:tcW w:type="dxa" w:w="3024"/>
          </w:tcPr>
          <w:p>
            <w:r>
              <w:rPr>
                <w:rFonts w:ascii="Times New Roman" w:hAnsi="Times New Roman"/>
                <w:sz w:val="19"/>
              </w:rPr>
              <w:t>[1.2]</w:t>
            </w:r>
          </w:p>
        </w:tc>
      </w:tr>
      <w:tr>
        <w:tc>
          <w:tcPr>
            <w:tcW w:type="dxa" w:w="3024"/>
          </w:tcPr>
          <w:p>
            <w:r>
              <w:rPr>
                <w:rFonts w:ascii="Times New Roman" w:hAnsi="Times New Roman"/>
                <w:sz w:val="19"/>
              </w:rPr>
              <w:t>7L11</w:t>
            </w:r>
          </w:p>
        </w:tc>
        <w:tc>
          <w:tcPr>
            <w:tcW w:type="dxa" w:w="3024"/>
          </w:tcPr>
          <w:p>
            <w:r>
              <w:rPr>
                <w:rFonts w:ascii="Times New Roman" w:hAnsi="Times New Roman"/>
                <w:sz w:val="19"/>
              </w:rPr>
              <w:t>CRYSTAL STRUCTURE OF THE SARS-COV-2(2019-NCOV) MAIN PRO</w:t>
            </w:r>
          </w:p>
        </w:tc>
        <w:tc>
          <w:tcPr>
            <w:tcW w:type="dxa" w:w="3024"/>
          </w:tcPr>
          <w:p>
            <w:r>
              <w:rPr>
                <w:rFonts w:ascii="Times New Roman" w:hAnsi="Times New Roman"/>
                <w:sz w:val="19"/>
              </w:rPr>
              <w:t>[1.8]</w:t>
            </w:r>
          </w:p>
        </w:tc>
      </w:tr>
      <w:tr>
        <w:tc>
          <w:tcPr>
            <w:tcW w:type="dxa" w:w="3024"/>
          </w:tcPr>
          <w:p>
            <w:r>
              <w:rPr>
                <w:rFonts w:ascii="Times New Roman" w:hAnsi="Times New Roman"/>
                <w:sz w:val="19"/>
              </w:rPr>
              <w:t>7D1M</w:t>
            </w:r>
          </w:p>
        </w:tc>
        <w:tc>
          <w:tcPr>
            <w:tcW w:type="dxa" w:w="3024"/>
          </w:tcPr>
          <w:p>
            <w:r>
              <w:rPr>
                <w:rFonts w:ascii="Times New Roman" w:hAnsi="Times New Roman"/>
                <w:sz w:val="19"/>
              </w:rPr>
              <w:t>CRYSTAL STRUCTURE OF THE SARS-CoV-2 MAIN PROTEASE COMPL</w:t>
            </w:r>
          </w:p>
        </w:tc>
        <w:tc>
          <w:tcPr>
            <w:tcW w:type="dxa" w:w="3024"/>
          </w:tcPr>
          <w:p>
            <w:r>
              <w:rPr>
                <w:rFonts w:ascii="Times New Roman" w:hAnsi="Times New Roman"/>
                <w:sz w:val="19"/>
              </w:rPr>
              <w:t>[1.35]</w:t>
            </w:r>
          </w:p>
        </w:tc>
      </w:tr>
      <w:tr>
        <w:tc>
          <w:tcPr>
            <w:tcW w:type="dxa" w:w="3024"/>
          </w:tcPr>
          <w:p>
            <w:r>
              <w:rPr>
                <w:rFonts w:ascii="Times New Roman" w:hAnsi="Times New Roman"/>
                <w:sz w:val="19"/>
              </w:rPr>
              <w:t>7C6S</w:t>
            </w:r>
          </w:p>
        </w:tc>
        <w:tc>
          <w:tcPr>
            <w:tcW w:type="dxa" w:w="3024"/>
          </w:tcPr>
          <w:p>
            <w:r>
              <w:rPr>
                <w:rFonts w:ascii="Times New Roman" w:hAnsi="Times New Roman"/>
                <w:sz w:val="19"/>
              </w:rPr>
              <w:t>Crystal structure of the SARS-CoV-2 main protease compl</w:t>
            </w:r>
          </w:p>
        </w:tc>
        <w:tc>
          <w:tcPr>
            <w:tcW w:type="dxa" w:w="3024"/>
          </w:tcPr>
          <w:p>
            <w:r>
              <w:rPr>
                <w:rFonts w:ascii="Times New Roman" w:hAnsi="Times New Roman"/>
                <w:sz w:val="19"/>
              </w:rPr>
              <w:t>[1.6]</w:t>
            </w:r>
          </w:p>
        </w:tc>
      </w:tr>
      <w:tr>
        <w:tc>
          <w:tcPr>
            <w:tcW w:type="dxa" w:w="3024"/>
          </w:tcPr>
          <w:p>
            <w:r>
              <w:rPr>
                <w:rFonts w:ascii="Times New Roman" w:hAnsi="Times New Roman"/>
                <w:sz w:val="19"/>
              </w:rPr>
              <w:t>7VTL</w:t>
            </w:r>
          </w:p>
        </w:tc>
        <w:tc>
          <w:tcPr>
            <w:tcW w:type="dxa" w:w="3024"/>
          </w:tcPr>
          <w:p>
            <w:r>
              <w:rPr>
                <w:rFonts w:ascii="Times New Roman" w:hAnsi="Times New Roman"/>
                <w:sz w:val="19"/>
              </w:rPr>
              <w:t>Crystal structure of GH family 64 beta-1,3-glucanase co</w:t>
            </w:r>
          </w:p>
        </w:tc>
        <w:tc>
          <w:tcPr>
            <w:tcW w:type="dxa" w:w="3024"/>
          </w:tcPr>
          <w:p>
            <w:r>
              <w:rPr>
                <w:rFonts w:ascii="Times New Roman" w:hAnsi="Times New Roman"/>
                <w:sz w:val="19"/>
              </w:rPr>
              <w:t>[2.07037904157]</w:t>
            </w:r>
          </w:p>
        </w:tc>
      </w:tr>
      <w:tr>
        <w:tc>
          <w:tcPr>
            <w:tcW w:type="dxa" w:w="3024"/>
          </w:tcPr>
          <w:p>
            <w:r>
              <w:rPr>
                <w:rFonts w:ascii="Times New Roman" w:hAnsi="Times New Roman"/>
                <w:sz w:val="19"/>
              </w:rPr>
              <w:t>7RFS</w:t>
            </w:r>
          </w:p>
        </w:tc>
        <w:tc>
          <w:tcPr>
            <w:tcW w:type="dxa" w:w="3024"/>
          </w:tcPr>
          <w:p>
            <w:r>
              <w:rPr>
                <w:rFonts w:ascii="Times New Roman" w:hAnsi="Times New Roman"/>
                <w:sz w:val="19"/>
              </w:rPr>
              <w:t>Structure of SARS-CoV-2 main protease in complex with a</w:t>
            </w:r>
          </w:p>
        </w:tc>
        <w:tc>
          <w:tcPr>
            <w:tcW w:type="dxa" w:w="3024"/>
          </w:tcPr>
          <w:p>
            <w:r>
              <w:rPr>
                <w:rFonts w:ascii="Times New Roman" w:hAnsi="Times New Roman"/>
                <w:sz w:val="19"/>
              </w:rPr>
              <w:t>[1.91]</w:t>
            </w:r>
          </w:p>
        </w:tc>
      </w:tr>
    </w:tbl>
    <w:p>
      <w:r>
        <w:rPr>
          <w:rFonts w:ascii="Times New Roman" w:hAnsi="Times New Roman"/>
          <w:b w:val="0"/>
          <w:i/>
        </w:rPr>
        <w:t>Table 5. Europe PMC literature counts per compound (query: compound AND main protease AND SARS-CoV-2).</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compound</w:t>
            </w:r>
          </w:p>
        </w:tc>
        <w:tc>
          <w:tcPr>
            <w:tcW w:type="dxa" w:w="4536"/>
            <w:shd w:val="clear" w:fill="DCE6F1"/>
          </w:tcPr>
          <w:p>
            <w:r>
              <w:rPr>
                <w:rFonts w:ascii="Times New Roman" w:hAnsi="Times New Roman"/>
                <w:b/>
                <w:sz w:val="19"/>
              </w:rPr>
              <w:t>Mpro literature hits</w:t>
            </w:r>
          </w:p>
        </w:tc>
      </w:tr>
      <w:tr>
        <w:tc>
          <w:tcPr>
            <w:tcW w:type="dxa" w:w="4536"/>
          </w:tcPr>
          <w:p>
            <w:r>
              <w:rPr>
                <w:rFonts w:ascii="Times New Roman" w:hAnsi="Times New Roman"/>
                <w:sz w:val="19"/>
              </w:rPr>
              <w:t>nirmatrelvir</w:t>
            </w:r>
          </w:p>
        </w:tc>
        <w:tc>
          <w:tcPr>
            <w:tcW w:type="dxa" w:w="4536"/>
          </w:tcPr>
          <w:p>
            <w:r>
              <w:rPr>
                <w:rFonts w:ascii="Times New Roman" w:hAnsi="Times New Roman"/>
                <w:sz w:val="19"/>
              </w:rPr>
              <w:t>1616</w:t>
            </w:r>
          </w:p>
        </w:tc>
      </w:tr>
      <w:tr>
        <w:tc>
          <w:tcPr>
            <w:tcW w:type="dxa" w:w="4536"/>
          </w:tcPr>
          <w:p>
            <w:r>
              <w:rPr>
                <w:rFonts w:ascii="Times New Roman" w:hAnsi="Times New Roman"/>
                <w:sz w:val="19"/>
              </w:rPr>
              <w:t>boceprevir</w:t>
            </w:r>
          </w:p>
        </w:tc>
        <w:tc>
          <w:tcPr>
            <w:tcW w:type="dxa" w:w="4536"/>
          </w:tcPr>
          <w:p>
            <w:r>
              <w:rPr>
                <w:rFonts w:ascii="Times New Roman" w:hAnsi="Times New Roman"/>
                <w:sz w:val="19"/>
              </w:rPr>
              <w:t>646</w:t>
            </w:r>
          </w:p>
        </w:tc>
      </w:tr>
      <w:tr>
        <w:tc>
          <w:tcPr>
            <w:tcW w:type="dxa" w:w="4536"/>
          </w:tcPr>
          <w:p>
            <w:r>
              <w:rPr>
                <w:rFonts w:ascii="Times New Roman" w:hAnsi="Times New Roman"/>
                <w:sz w:val="19"/>
              </w:rPr>
              <w:t>telaprevir</w:t>
            </w:r>
          </w:p>
        </w:tc>
        <w:tc>
          <w:tcPr>
            <w:tcW w:type="dxa" w:w="4536"/>
          </w:tcPr>
          <w:p>
            <w:r>
              <w:rPr>
                <w:rFonts w:ascii="Times New Roman" w:hAnsi="Times New Roman"/>
                <w:sz w:val="19"/>
              </w:rPr>
              <w:t>332</w:t>
            </w:r>
          </w:p>
        </w:tc>
      </w:tr>
      <w:tr>
        <w:tc>
          <w:tcPr>
            <w:tcW w:type="dxa" w:w="4536"/>
          </w:tcPr>
          <w:p>
            <w:r>
              <w:rPr>
                <w:rFonts w:ascii="Times New Roman" w:hAnsi="Times New Roman"/>
                <w:sz w:val="19"/>
              </w:rPr>
              <w:t>carmofur</w:t>
            </w:r>
          </w:p>
        </w:tc>
        <w:tc>
          <w:tcPr>
            <w:tcW w:type="dxa" w:w="4536"/>
          </w:tcPr>
          <w:p>
            <w:r>
              <w:rPr>
                <w:rFonts w:ascii="Times New Roman" w:hAnsi="Times New Roman"/>
                <w:sz w:val="19"/>
              </w:rPr>
              <w:t>291</w:t>
            </w:r>
          </w:p>
        </w:tc>
      </w:tr>
      <w:tr>
        <w:tc>
          <w:tcPr>
            <w:tcW w:type="dxa" w:w="4536"/>
          </w:tcPr>
          <w:p>
            <w:r>
              <w:rPr>
                <w:rFonts w:ascii="Times New Roman" w:hAnsi="Times New Roman"/>
                <w:sz w:val="19"/>
              </w:rPr>
              <w:t>disulfiram</w:t>
            </w:r>
          </w:p>
        </w:tc>
        <w:tc>
          <w:tcPr>
            <w:tcW w:type="dxa" w:w="4536"/>
          </w:tcPr>
          <w:p>
            <w:r>
              <w:rPr>
                <w:rFonts w:ascii="Times New Roman" w:hAnsi="Times New Roman"/>
                <w:sz w:val="19"/>
              </w:rPr>
              <w:t>349</w:t>
            </w:r>
          </w:p>
        </w:tc>
      </w:tr>
      <w:tr>
        <w:tc>
          <w:tcPr>
            <w:tcW w:type="dxa" w:w="4536"/>
          </w:tcPr>
          <w:p>
            <w:r>
              <w:rPr>
                <w:rFonts w:ascii="Times New Roman" w:hAnsi="Times New Roman"/>
                <w:sz w:val="19"/>
              </w:rPr>
              <w:t>tideglusib</w:t>
            </w:r>
          </w:p>
        </w:tc>
        <w:tc>
          <w:tcPr>
            <w:tcW w:type="dxa" w:w="4536"/>
          </w:tcPr>
          <w:p>
            <w:r>
              <w:rPr>
                <w:rFonts w:ascii="Times New Roman" w:hAnsi="Times New Roman"/>
                <w:sz w:val="19"/>
              </w:rPr>
              <w:t>165</w:t>
            </w:r>
          </w:p>
        </w:tc>
      </w:tr>
      <w:tr>
        <w:tc>
          <w:tcPr>
            <w:tcW w:type="dxa" w:w="4536"/>
          </w:tcPr>
          <w:p>
            <w:r>
              <w:rPr>
                <w:rFonts w:ascii="Times New Roman" w:hAnsi="Times New Roman"/>
                <w:sz w:val="19"/>
              </w:rPr>
              <w:t>masitinib</w:t>
            </w:r>
          </w:p>
        </w:tc>
        <w:tc>
          <w:tcPr>
            <w:tcW w:type="dxa" w:w="4536"/>
          </w:tcPr>
          <w:p>
            <w:r>
              <w:rPr>
                <w:rFonts w:ascii="Times New Roman" w:hAnsi="Times New Roman"/>
                <w:sz w:val="19"/>
              </w:rPr>
              <w:t>81</w:t>
            </w:r>
          </w:p>
        </w:tc>
      </w:tr>
      <w:tr>
        <w:tc>
          <w:tcPr>
            <w:tcW w:type="dxa" w:w="4536"/>
          </w:tcPr>
          <w:p>
            <w:r>
              <w:rPr>
                <w:rFonts w:ascii="Times New Roman" w:hAnsi="Times New Roman"/>
                <w:sz w:val="19"/>
              </w:rPr>
              <w:t>lopinavir</w:t>
            </w:r>
          </w:p>
        </w:tc>
        <w:tc>
          <w:tcPr>
            <w:tcW w:type="dxa" w:w="4536"/>
          </w:tcPr>
          <w:p>
            <w:r>
              <w:rPr>
                <w:rFonts w:ascii="Times New Roman" w:hAnsi="Times New Roman"/>
                <w:sz w:val="19"/>
              </w:rPr>
              <w:t>2162</w:t>
            </w:r>
          </w:p>
        </w:tc>
      </w:tr>
      <w:tr>
        <w:tc>
          <w:tcPr>
            <w:tcW w:type="dxa" w:w="4536"/>
          </w:tcPr>
          <w:p>
            <w:r>
              <w:rPr>
                <w:rFonts w:ascii="Times New Roman" w:hAnsi="Times New Roman"/>
                <w:sz w:val="19"/>
              </w:rPr>
              <w:t>atazanavir</w:t>
            </w:r>
          </w:p>
        </w:tc>
        <w:tc>
          <w:tcPr>
            <w:tcW w:type="dxa" w:w="4536"/>
          </w:tcPr>
          <w:p>
            <w:r>
              <w:rPr>
                <w:rFonts w:ascii="Times New Roman" w:hAnsi="Times New Roman"/>
                <w:sz w:val="19"/>
              </w:rPr>
              <w:t>364</w:t>
            </w:r>
          </w:p>
        </w:tc>
      </w:tr>
      <w:tr>
        <w:tc>
          <w:tcPr>
            <w:tcW w:type="dxa" w:w="4536"/>
          </w:tcPr>
          <w:p>
            <w:r>
              <w:rPr>
                <w:rFonts w:ascii="Times New Roman" w:hAnsi="Times New Roman"/>
                <w:sz w:val="19"/>
              </w:rPr>
              <w:t>darunavir</w:t>
            </w:r>
          </w:p>
        </w:tc>
        <w:tc>
          <w:tcPr>
            <w:tcW w:type="dxa" w:w="4536"/>
          </w:tcPr>
          <w:p>
            <w:r>
              <w:rPr>
                <w:rFonts w:ascii="Times New Roman" w:hAnsi="Times New Roman"/>
                <w:sz w:val="19"/>
              </w:rPr>
              <w:t>698</w:t>
            </w:r>
          </w:p>
        </w:tc>
      </w:tr>
      <w:tr>
        <w:tc>
          <w:tcPr>
            <w:tcW w:type="dxa" w:w="4536"/>
          </w:tcPr>
          <w:p>
            <w:r>
              <w:rPr>
                <w:rFonts w:ascii="Times New Roman" w:hAnsi="Times New Roman"/>
                <w:sz w:val="19"/>
              </w:rPr>
              <w:t>saquinavir</w:t>
            </w:r>
          </w:p>
        </w:tc>
        <w:tc>
          <w:tcPr>
            <w:tcW w:type="dxa" w:w="4536"/>
          </w:tcPr>
          <w:p>
            <w:r>
              <w:rPr>
                <w:rFonts w:ascii="Times New Roman" w:hAnsi="Times New Roman"/>
                <w:sz w:val="19"/>
              </w:rPr>
              <w:t>484</w:t>
            </w:r>
          </w:p>
        </w:tc>
      </w:tr>
      <w:tr>
        <w:tc>
          <w:tcPr>
            <w:tcW w:type="dxa" w:w="4536"/>
          </w:tcPr>
          <w:p>
            <w:r>
              <w:rPr>
                <w:rFonts w:ascii="Times New Roman" w:hAnsi="Times New Roman"/>
                <w:sz w:val="19"/>
              </w:rPr>
              <w:t>indinavir</w:t>
            </w:r>
          </w:p>
        </w:tc>
        <w:tc>
          <w:tcPr>
            <w:tcW w:type="dxa" w:w="4536"/>
          </w:tcPr>
          <w:p>
            <w:r>
              <w:rPr>
                <w:rFonts w:ascii="Times New Roman" w:hAnsi="Times New Roman"/>
                <w:sz w:val="19"/>
              </w:rPr>
              <w:t>380</w:t>
            </w:r>
          </w:p>
        </w:tc>
      </w:tr>
      <w:tr>
        <w:tc>
          <w:tcPr>
            <w:tcW w:type="dxa" w:w="4536"/>
          </w:tcPr>
          <w:p>
            <w:r>
              <w:rPr>
                <w:rFonts w:ascii="Times New Roman" w:hAnsi="Times New Roman"/>
                <w:sz w:val="19"/>
              </w:rPr>
              <w:t>nelfinavir</w:t>
            </w:r>
          </w:p>
        </w:tc>
        <w:tc>
          <w:tcPr>
            <w:tcW w:type="dxa" w:w="4536"/>
          </w:tcPr>
          <w:p>
            <w:r>
              <w:rPr>
                <w:rFonts w:ascii="Times New Roman" w:hAnsi="Times New Roman"/>
                <w:sz w:val="19"/>
              </w:rPr>
              <w:t>725</w:t>
            </w:r>
          </w:p>
        </w:tc>
      </w:tr>
      <w:tr>
        <w:tc>
          <w:tcPr>
            <w:tcW w:type="dxa" w:w="4536"/>
          </w:tcPr>
          <w:p>
            <w:r>
              <w:rPr>
                <w:rFonts w:ascii="Times New Roman" w:hAnsi="Times New Roman"/>
                <w:sz w:val="19"/>
              </w:rPr>
              <w:t>chloroquine</w:t>
            </w:r>
          </w:p>
        </w:tc>
        <w:tc>
          <w:tcPr>
            <w:tcW w:type="dxa" w:w="4536"/>
          </w:tcPr>
          <w:p>
            <w:r>
              <w:rPr>
                <w:rFonts w:ascii="Times New Roman" w:hAnsi="Times New Roman"/>
                <w:sz w:val="19"/>
              </w:rPr>
              <w:t>1913</w:t>
            </w:r>
          </w:p>
        </w:tc>
      </w:tr>
      <w:tr>
        <w:tc>
          <w:tcPr>
            <w:tcW w:type="dxa" w:w="4536"/>
          </w:tcPr>
          <w:p>
            <w:r>
              <w:rPr>
                <w:rFonts w:ascii="Times New Roman" w:hAnsi="Times New Roman"/>
                <w:sz w:val="19"/>
              </w:rPr>
              <w:t>hydroxychloroquine</w:t>
            </w:r>
          </w:p>
        </w:tc>
        <w:tc>
          <w:tcPr>
            <w:tcW w:type="dxa" w:w="4536"/>
          </w:tcPr>
          <w:p>
            <w:r>
              <w:rPr>
                <w:rFonts w:ascii="Times New Roman" w:hAnsi="Times New Roman"/>
                <w:sz w:val="19"/>
              </w:rPr>
              <w:t>1933</w:t>
            </w:r>
          </w:p>
        </w:tc>
      </w:tr>
      <w:tr>
        <w:tc>
          <w:tcPr>
            <w:tcW w:type="dxa" w:w="4536"/>
          </w:tcPr>
          <w:p>
            <w:r>
              <w:rPr>
                <w:rFonts w:ascii="Times New Roman" w:hAnsi="Times New Roman"/>
                <w:sz w:val="19"/>
              </w:rPr>
              <w:t>ritonavir</w:t>
            </w:r>
          </w:p>
        </w:tc>
        <w:tc>
          <w:tcPr>
            <w:tcW w:type="dxa" w:w="4536"/>
          </w:tcPr>
          <w:p>
            <w:r>
              <w:rPr>
                <w:rFonts w:ascii="Times New Roman" w:hAnsi="Times New Roman"/>
                <w:sz w:val="19"/>
              </w:rPr>
              <w:t>2885</w:t>
            </w:r>
          </w:p>
        </w:tc>
      </w:tr>
      <w:tr>
        <w:tc>
          <w:tcPr>
            <w:tcW w:type="dxa" w:w="4536"/>
          </w:tcPr>
          <w:p>
            <w:r>
              <w:rPr>
                <w:rFonts w:ascii="Times New Roman" w:hAnsi="Times New Roman"/>
                <w:sz w:val="19"/>
              </w:rPr>
              <w:t>remdesivir</w:t>
            </w:r>
          </w:p>
        </w:tc>
        <w:tc>
          <w:tcPr>
            <w:tcW w:type="dxa" w:w="4536"/>
          </w:tcPr>
          <w:p>
            <w:r>
              <w:rPr>
                <w:rFonts w:ascii="Times New Roman" w:hAnsi="Times New Roman"/>
                <w:sz w:val="19"/>
              </w:rPr>
              <w:t>3621</w:t>
            </w:r>
          </w:p>
        </w:tc>
      </w:tr>
      <w:tr>
        <w:tc>
          <w:tcPr>
            <w:tcW w:type="dxa" w:w="4536"/>
          </w:tcPr>
          <w:p>
            <w:r>
              <w:rPr>
                <w:rFonts w:ascii="Times New Roman" w:hAnsi="Times New Roman"/>
                <w:sz w:val="19"/>
              </w:rPr>
              <w:t>molnupiravir</w:t>
            </w:r>
          </w:p>
        </w:tc>
        <w:tc>
          <w:tcPr>
            <w:tcW w:type="dxa" w:w="4536"/>
          </w:tcPr>
          <w:p>
            <w:r>
              <w:rPr>
                <w:rFonts w:ascii="Times New Roman" w:hAnsi="Times New Roman"/>
                <w:sz w:val="19"/>
              </w:rPr>
              <w:t>1096</w:t>
            </w:r>
          </w:p>
        </w:tc>
      </w:tr>
      <w:tr>
        <w:tc>
          <w:tcPr>
            <w:tcW w:type="dxa" w:w="4536"/>
          </w:tcPr>
          <w:p>
            <w:r>
              <w:rPr>
                <w:rFonts w:ascii="Times New Roman" w:hAnsi="Times New Roman"/>
                <w:sz w:val="19"/>
              </w:rPr>
              <w:t>favipiravir</w:t>
            </w:r>
          </w:p>
        </w:tc>
        <w:tc>
          <w:tcPr>
            <w:tcW w:type="dxa" w:w="4536"/>
          </w:tcPr>
          <w:p>
            <w:r>
              <w:rPr>
                <w:rFonts w:ascii="Times New Roman" w:hAnsi="Times New Roman"/>
                <w:sz w:val="19"/>
              </w:rPr>
              <w:t>1386</w:t>
            </w:r>
          </w:p>
        </w:tc>
      </w:tr>
      <w:tr>
        <w:tc>
          <w:tcPr>
            <w:tcW w:type="dxa" w:w="4536"/>
          </w:tcPr>
          <w:p>
            <w:r>
              <w:rPr>
                <w:rFonts w:ascii="Times New Roman" w:hAnsi="Times New Roman"/>
                <w:sz w:val="19"/>
              </w:rPr>
              <w:t>camostat</w:t>
            </w:r>
          </w:p>
        </w:tc>
        <w:tc>
          <w:tcPr>
            <w:tcW w:type="dxa" w:w="4536"/>
          </w:tcPr>
          <w:p>
            <w:r>
              <w:rPr>
                <w:rFonts w:ascii="Times New Roman" w:hAnsi="Times New Roman"/>
                <w:sz w:val="19"/>
              </w:rPr>
              <w:t>597</w:t>
            </w:r>
          </w:p>
        </w:tc>
      </w:tr>
      <w:tr>
        <w:tc>
          <w:tcPr>
            <w:tcW w:type="dxa" w:w="4536"/>
          </w:tcPr>
          <w:p>
            <w:r>
              <w:rPr>
                <w:rFonts w:ascii="Times New Roman" w:hAnsi="Times New Roman"/>
                <w:sz w:val="19"/>
              </w:rPr>
              <w:t>nafamostat</w:t>
            </w:r>
          </w:p>
        </w:tc>
        <w:tc>
          <w:tcPr>
            <w:tcW w:type="dxa" w:w="4536"/>
          </w:tcPr>
          <w:p>
            <w:r>
              <w:rPr>
                <w:rFonts w:ascii="Times New Roman" w:hAnsi="Times New Roman"/>
                <w:sz w:val="19"/>
              </w:rPr>
              <w:t>382</w:t>
            </w:r>
          </w:p>
        </w:tc>
      </w:tr>
      <w:tr>
        <w:tc>
          <w:tcPr>
            <w:tcW w:type="dxa" w:w="4536"/>
          </w:tcPr>
          <w:p>
            <w:r>
              <w:rPr>
                <w:rFonts w:ascii="Times New Roman" w:hAnsi="Times New Roman"/>
                <w:sz w:val="19"/>
              </w:rPr>
              <w:t>nilotinib</w:t>
            </w:r>
          </w:p>
        </w:tc>
        <w:tc>
          <w:tcPr>
            <w:tcW w:type="dxa" w:w="4536"/>
          </w:tcPr>
          <w:p>
            <w:r>
              <w:rPr>
                <w:rFonts w:ascii="Times New Roman" w:hAnsi="Times New Roman"/>
                <w:sz w:val="19"/>
              </w:rPr>
              <w:t>110</w:t>
            </w:r>
          </w:p>
        </w:tc>
      </w:tr>
    </w:tbl>
    <w:p>
      <w:r>
        <w:rPr>
          <w:rFonts w:ascii="Times New Roman" w:hAnsi="Times New Roman"/>
          <w:b w:val="0"/>
          <w:i/>
        </w:rPr>
        <w:t>Table 6. PubChem property records for the screened set (live pull).</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fill="DCE6F1"/>
          </w:tcPr>
          <w:p>
            <w:r>
              <w:rPr>
                <w:rFonts w:ascii="Times New Roman" w:hAnsi="Times New Roman"/>
                <w:b/>
                <w:sz w:val="19"/>
              </w:rPr>
              <w:t>compound</w:t>
            </w:r>
          </w:p>
        </w:tc>
        <w:tc>
          <w:tcPr>
            <w:tcW w:type="dxa" w:w="1512"/>
            <w:shd w:val="clear" w:fill="DCE6F1"/>
          </w:tcPr>
          <w:p>
            <w:r>
              <w:rPr>
                <w:rFonts w:ascii="Times New Roman" w:hAnsi="Times New Roman"/>
                <w:b/>
                <w:sz w:val="19"/>
              </w:rPr>
              <w:t>MW</w:t>
            </w:r>
          </w:p>
        </w:tc>
        <w:tc>
          <w:tcPr>
            <w:tcW w:type="dxa" w:w="1512"/>
            <w:shd w:val="clear" w:fill="DCE6F1"/>
          </w:tcPr>
          <w:p>
            <w:r>
              <w:rPr>
                <w:rFonts w:ascii="Times New Roman" w:hAnsi="Times New Roman"/>
                <w:b/>
                <w:sz w:val="19"/>
              </w:rPr>
              <w:t>XLogP</w:t>
            </w:r>
          </w:p>
        </w:tc>
        <w:tc>
          <w:tcPr>
            <w:tcW w:type="dxa" w:w="1512"/>
            <w:shd w:val="clear" w:fill="DCE6F1"/>
          </w:tcPr>
          <w:p>
            <w:r>
              <w:rPr>
                <w:rFonts w:ascii="Times New Roman" w:hAnsi="Times New Roman"/>
                <w:b/>
                <w:sz w:val="19"/>
              </w:rPr>
              <w:t>TPSA</w:t>
            </w:r>
          </w:p>
        </w:tc>
        <w:tc>
          <w:tcPr>
            <w:tcW w:type="dxa" w:w="1512"/>
            <w:shd w:val="clear" w:fill="DCE6F1"/>
          </w:tcPr>
          <w:p>
            <w:r>
              <w:rPr>
                <w:rFonts w:ascii="Times New Roman" w:hAnsi="Times New Roman"/>
                <w:b/>
                <w:sz w:val="19"/>
              </w:rPr>
              <w:t>HBD</w:t>
            </w:r>
          </w:p>
        </w:tc>
        <w:tc>
          <w:tcPr>
            <w:tcW w:type="dxa" w:w="1512"/>
            <w:shd w:val="clear" w:fill="DCE6F1"/>
          </w:tcPr>
          <w:p>
            <w:r>
              <w:rPr>
                <w:rFonts w:ascii="Times New Roman" w:hAnsi="Times New Roman"/>
                <w:b/>
                <w:sz w:val="19"/>
              </w:rPr>
              <w:t>HBA</w:t>
            </w:r>
          </w:p>
        </w:tc>
      </w:tr>
      <w:tr>
        <w:tc>
          <w:tcPr>
            <w:tcW w:type="dxa" w:w="1512"/>
          </w:tcPr>
          <w:p>
            <w:r>
              <w:rPr>
                <w:rFonts w:ascii="Times New Roman" w:hAnsi="Times New Roman"/>
                <w:sz w:val="19"/>
              </w:rPr>
              <w:t>nirmatrelvir</w:t>
            </w:r>
          </w:p>
        </w:tc>
        <w:tc>
          <w:tcPr>
            <w:tcW w:type="dxa" w:w="1512"/>
          </w:tcPr>
          <w:p>
            <w:r>
              <w:rPr>
                <w:rFonts w:ascii="Times New Roman" w:hAnsi="Times New Roman"/>
                <w:sz w:val="19"/>
              </w:rPr>
              <w:t>499.5</w:t>
            </w:r>
          </w:p>
        </w:tc>
        <w:tc>
          <w:tcPr>
            <w:tcW w:type="dxa" w:w="1512"/>
          </w:tcPr>
          <w:p>
            <w:r>
              <w:rPr>
                <w:rFonts w:ascii="Times New Roman" w:hAnsi="Times New Roman"/>
                <w:sz w:val="19"/>
              </w:rPr>
              <w:t>2.2</w:t>
            </w:r>
          </w:p>
        </w:tc>
        <w:tc>
          <w:tcPr>
            <w:tcW w:type="dxa" w:w="1512"/>
          </w:tcPr>
          <w:p>
            <w:r>
              <w:rPr>
                <w:rFonts w:ascii="Times New Roman" w:hAnsi="Times New Roman"/>
                <w:sz w:val="19"/>
              </w:rPr>
              <w:t>131</w:t>
            </w:r>
          </w:p>
        </w:tc>
        <w:tc>
          <w:tcPr>
            <w:tcW w:type="dxa" w:w="1512"/>
          </w:tcPr>
          <w:p>
            <w:r>
              <w:rPr>
                <w:rFonts w:ascii="Times New Roman" w:hAnsi="Times New Roman"/>
                <w:sz w:val="19"/>
              </w:rPr>
              <w:t>3</w:t>
            </w:r>
          </w:p>
        </w:tc>
        <w:tc>
          <w:tcPr>
            <w:tcW w:type="dxa" w:w="1512"/>
          </w:tcPr>
          <w:p>
            <w:r>
              <w:rPr>
                <w:rFonts w:ascii="Times New Roman" w:hAnsi="Times New Roman"/>
                <w:sz w:val="19"/>
              </w:rPr>
              <w:t>8</w:t>
            </w:r>
          </w:p>
        </w:tc>
      </w:tr>
      <w:tr>
        <w:tc>
          <w:tcPr>
            <w:tcW w:type="dxa" w:w="1512"/>
          </w:tcPr>
          <w:p>
            <w:r>
              <w:rPr>
                <w:rFonts w:ascii="Times New Roman" w:hAnsi="Times New Roman"/>
                <w:sz w:val="19"/>
              </w:rPr>
              <w:t>boceprevir</w:t>
            </w:r>
          </w:p>
        </w:tc>
        <w:tc>
          <w:tcPr>
            <w:tcW w:type="dxa" w:w="1512"/>
          </w:tcPr>
          <w:p>
            <w:r>
              <w:rPr>
                <w:rFonts w:ascii="Times New Roman" w:hAnsi="Times New Roman"/>
                <w:sz w:val="19"/>
              </w:rPr>
              <w:t>519.7</w:t>
            </w:r>
          </w:p>
        </w:tc>
        <w:tc>
          <w:tcPr>
            <w:tcW w:type="dxa" w:w="1512"/>
          </w:tcPr>
          <w:p>
            <w:r>
              <w:rPr>
                <w:rFonts w:ascii="Times New Roman" w:hAnsi="Times New Roman"/>
                <w:sz w:val="19"/>
              </w:rPr>
              <w:t>3.1</w:t>
            </w:r>
          </w:p>
        </w:tc>
        <w:tc>
          <w:tcPr>
            <w:tcW w:type="dxa" w:w="1512"/>
          </w:tcPr>
          <w:p>
            <w:r>
              <w:rPr>
                <w:rFonts w:ascii="Times New Roman" w:hAnsi="Times New Roman"/>
                <w:sz w:val="19"/>
              </w:rPr>
              <w:t>151</w:t>
            </w:r>
          </w:p>
        </w:tc>
        <w:tc>
          <w:tcPr>
            <w:tcW w:type="dxa" w:w="1512"/>
          </w:tcPr>
          <w:p>
            <w:r>
              <w:rPr>
                <w:rFonts w:ascii="Times New Roman" w:hAnsi="Times New Roman"/>
                <w:sz w:val="19"/>
              </w:rPr>
              <w:t>4</w:t>
            </w:r>
          </w:p>
        </w:tc>
        <w:tc>
          <w:tcPr>
            <w:tcW w:type="dxa" w:w="1512"/>
          </w:tcPr>
          <w:p>
            <w:r>
              <w:rPr>
                <w:rFonts w:ascii="Times New Roman" w:hAnsi="Times New Roman"/>
                <w:sz w:val="19"/>
              </w:rPr>
              <w:t>5</w:t>
            </w:r>
          </w:p>
        </w:tc>
      </w:tr>
      <w:tr>
        <w:tc>
          <w:tcPr>
            <w:tcW w:type="dxa" w:w="1512"/>
          </w:tcPr>
          <w:p>
            <w:r>
              <w:rPr>
                <w:rFonts w:ascii="Times New Roman" w:hAnsi="Times New Roman"/>
                <w:sz w:val="19"/>
              </w:rPr>
              <w:t>telaprevir</w:t>
            </w:r>
          </w:p>
        </w:tc>
        <w:tc>
          <w:tcPr>
            <w:tcW w:type="dxa" w:w="1512"/>
          </w:tcPr>
          <w:p>
            <w:r>
              <w:rPr>
                <w:rFonts w:ascii="Times New Roman" w:hAnsi="Times New Roman"/>
                <w:sz w:val="19"/>
              </w:rPr>
              <w:t>679.8</w:t>
            </w:r>
          </w:p>
        </w:tc>
        <w:tc>
          <w:tcPr>
            <w:tcW w:type="dxa" w:w="1512"/>
          </w:tcPr>
          <w:p>
            <w:r>
              <w:rPr>
                <w:rFonts w:ascii="Times New Roman" w:hAnsi="Times New Roman"/>
                <w:sz w:val="19"/>
              </w:rPr>
              <w:t>4.2</w:t>
            </w:r>
          </w:p>
        </w:tc>
        <w:tc>
          <w:tcPr>
            <w:tcW w:type="dxa" w:w="1512"/>
          </w:tcPr>
          <w:p>
            <w:r>
              <w:rPr>
                <w:rFonts w:ascii="Times New Roman" w:hAnsi="Times New Roman"/>
                <w:sz w:val="19"/>
              </w:rPr>
              <w:t>180</w:t>
            </w:r>
          </w:p>
        </w:tc>
        <w:tc>
          <w:tcPr>
            <w:tcW w:type="dxa" w:w="1512"/>
          </w:tcPr>
          <w:p>
            <w:r>
              <w:rPr>
                <w:rFonts w:ascii="Times New Roman" w:hAnsi="Times New Roman"/>
                <w:sz w:val="19"/>
              </w:rPr>
              <w:t>4</w:t>
            </w:r>
          </w:p>
        </w:tc>
        <w:tc>
          <w:tcPr>
            <w:tcW w:type="dxa" w:w="1512"/>
          </w:tcPr>
          <w:p>
            <w:r>
              <w:rPr>
                <w:rFonts w:ascii="Times New Roman" w:hAnsi="Times New Roman"/>
                <w:sz w:val="19"/>
              </w:rPr>
              <w:t>8</w:t>
            </w:r>
          </w:p>
        </w:tc>
      </w:tr>
      <w:tr>
        <w:tc>
          <w:tcPr>
            <w:tcW w:type="dxa" w:w="1512"/>
          </w:tcPr>
          <w:p>
            <w:r>
              <w:rPr>
                <w:rFonts w:ascii="Times New Roman" w:hAnsi="Times New Roman"/>
                <w:sz w:val="19"/>
              </w:rPr>
              <w:t>carmofur</w:t>
            </w:r>
          </w:p>
        </w:tc>
        <w:tc>
          <w:tcPr>
            <w:tcW w:type="dxa" w:w="1512"/>
          </w:tcPr>
          <w:p>
            <w:r>
              <w:rPr>
                <w:rFonts w:ascii="Times New Roman" w:hAnsi="Times New Roman"/>
                <w:sz w:val="19"/>
              </w:rPr>
              <w:t>257.26</w:t>
            </w:r>
          </w:p>
        </w:tc>
        <w:tc>
          <w:tcPr>
            <w:tcW w:type="dxa" w:w="1512"/>
          </w:tcPr>
          <w:p>
            <w:r>
              <w:rPr>
                <w:rFonts w:ascii="Times New Roman" w:hAnsi="Times New Roman"/>
                <w:sz w:val="19"/>
              </w:rPr>
              <w:t>2.6</w:t>
            </w:r>
          </w:p>
        </w:tc>
        <w:tc>
          <w:tcPr>
            <w:tcW w:type="dxa" w:w="1512"/>
          </w:tcPr>
          <w:p>
            <w:r>
              <w:rPr>
                <w:rFonts w:ascii="Times New Roman" w:hAnsi="Times New Roman"/>
                <w:sz w:val="19"/>
              </w:rPr>
              <w:t>78.5</w:t>
            </w:r>
          </w:p>
        </w:tc>
        <w:tc>
          <w:tcPr>
            <w:tcW w:type="dxa" w:w="1512"/>
          </w:tcPr>
          <w:p>
            <w:r>
              <w:rPr>
                <w:rFonts w:ascii="Times New Roman" w:hAnsi="Times New Roman"/>
                <w:sz w:val="19"/>
              </w:rPr>
              <w:t>2</w:t>
            </w:r>
          </w:p>
        </w:tc>
        <w:tc>
          <w:tcPr>
            <w:tcW w:type="dxa" w:w="1512"/>
          </w:tcPr>
          <w:p>
            <w:r>
              <w:rPr>
                <w:rFonts w:ascii="Times New Roman" w:hAnsi="Times New Roman"/>
                <w:sz w:val="19"/>
              </w:rPr>
              <w:t>4</w:t>
            </w:r>
          </w:p>
        </w:tc>
      </w:tr>
      <w:tr>
        <w:tc>
          <w:tcPr>
            <w:tcW w:type="dxa" w:w="1512"/>
          </w:tcPr>
          <w:p>
            <w:r>
              <w:rPr>
                <w:rFonts w:ascii="Times New Roman" w:hAnsi="Times New Roman"/>
                <w:sz w:val="19"/>
              </w:rPr>
              <w:t>disulfiram</w:t>
            </w:r>
          </w:p>
        </w:tc>
        <w:tc>
          <w:tcPr>
            <w:tcW w:type="dxa" w:w="1512"/>
          </w:tcPr>
          <w:p>
            <w:r>
              <w:rPr>
                <w:rFonts w:ascii="Times New Roman" w:hAnsi="Times New Roman"/>
                <w:sz w:val="19"/>
              </w:rPr>
              <w:t>296.5</w:t>
            </w:r>
          </w:p>
        </w:tc>
        <w:tc>
          <w:tcPr>
            <w:tcW w:type="dxa" w:w="1512"/>
          </w:tcPr>
          <w:p>
            <w:r>
              <w:rPr>
                <w:rFonts w:ascii="Times New Roman" w:hAnsi="Times New Roman"/>
                <w:sz w:val="19"/>
              </w:rPr>
              <w:t>3.9</w:t>
            </w:r>
          </w:p>
        </w:tc>
        <w:tc>
          <w:tcPr>
            <w:tcW w:type="dxa" w:w="1512"/>
          </w:tcPr>
          <w:p>
            <w:r>
              <w:rPr>
                <w:rFonts w:ascii="Times New Roman" w:hAnsi="Times New Roman"/>
                <w:sz w:val="19"/>
              </w:rPr>
              <w:t>121</w:t>
            </w:r>
          </w:p>
        </w:tc>
        <w:tc>
          <w:tcPr>
            <w:tcW w:type="dxa" w:w="1512"/>
          </w:tcPr>
          <w:p>
            <w:r>
              <w:rPr>
                <w:rFonts w:ascii="Times New Roman" w:hAnsi="Times New Roman"/>
                <w:sz w:val="19"/>
              </w:rPr>
              <w:t>0</w:t>
            </w:r>
          </w:p>
        </w:tc>
        <w:tc>
          <w:tcPr>
            <w:tcW w:type="dxa" w:w="1512"/>
          </w:tcPr>
          <w:p>
            <w:r>
              <w:rPr>
                <w:rFonts w:ascii="Times New Roman" w:hAnsi="Times New Roman"/>
                <w:sz w:val="19"/>
              </w:rPr>
              <w:t>4</w:t>
            </w:r>
          </w:p>
        </w:tc>
      </w:tr>
      <w:tr>
        <w:tc>
          <w:tcPr>
            <w:tcW w:type="dxa" w:w="1512"/>
          </w:tcPr>
          <w:p>
            <w:r>
              <w:rPr>
                <w:rFonts w:ascii="Times New Roman" w:hAnsi="Times New Roman"/>
                <w:sz w:val="19"/>
              </w:rPr>
              <w:t>tideglusib</w:t>
            </w:r>
          </w:p>
        </w:tc>
        <w:tc>
          <w:tcPr>
            <w:tcW w:type="dxa" w:w="1512"/>
          </w:tcPr>
          <w:p>
            <w:r>
              <w:rPr>
                <w:rFonts w:ascii="Times New Roman" w:hAnsi="Times New Roman"/>
                <w:sz w:val="19"/>
              </w:rPr>
              <w:t>334.4</w:t>
            </w:r>
          </w:p>
        </w:tc>
        <w:tc>
          <w:tcPr>
            <w:tcW w:type="dxa" w:w="1512"/>
          </w:tcPr>
          <w:p>
            <w:r>
              <w:rPr>
                <w:rFonts w:ascii="Times New Roman" w:hAnsi="Times New Roman"/>
                <w:sz w:val="19"/>
              </w:rPr>
              <w:t>4.3</w:t>
            </w:r>
          </w:p>
        </w:tc>
        <w:tc>
          <w:tcPr>
            <w:tcW w:type="dxa" w:w="1512"/>
          </w:tcPr>
          <w:p>
            <w:r>
              <w:rPr>
                <w:rFonts w:ascii="Times New Roman" w:hAnsi="Times New Roman"/>
                <w:sz w:val="19"/>
              </w:rPr>
              <w:t>65.9</w:t>
            </w:r>
          </w:p>
        </w:tc>
        <w:tc>
          <w:tcPr>
            <w:tcW w:type="dxa" w:w="1512"/>
          </w:tcPr>
          <w:p>
            <w:r>
              <w:rPr>
                <w:rFonts w:ascii="Times New Roman" w:hAnsi="Times New Roman"/>
                <w:sz w:val="19"/>
              </w:rPr>
              <w:t>0</w:t>
            </w:r>
          </w:p>
        </w:tc>
        <w:tc>
          <w:tcPr>
            <w:tcW w:type="dxa" w:w="1512"/>
          </w:tcPr>
          <w:p>
            <w:r>
              <w:rPr>
                <w:rFonts w:ascii="Times New Roman" w:hAnsi="Times New Roman"/>
                <w:sz w:val="19"/>
              </w:rPr>
              <w:t>3</w:t>
            </w:r>
          </w:p>
        </w:tc>
      </w:tr>
      <w:tr>
        <w:tc>
          <w:tcPr>
            <w:tcW w:type="dxa" w:w="1512"/>
          </w:tcPr>
          <w:p>
            <w:r>
              <w:rPr>
                <w:rFonts w:ascii="Times New Roman" w:hAnsi="Times New Roman"/>
                <w:sz w:val="19"/>
              </w:rPr>
              <w:t>masitinib</w:t>
            </w:r>
          </w:p>
        </w:tc>
        <w:tc>
          <w:tcPr>
            <w:tcW w:type="dxa" w:w="1512"/>
          </w:tcPr>
          <w:p>
            <w:r>
              <w:rPr>
                <w:rFonts w:ascii="Times New Roman" w:hAnsi="Times New Roman"/>
                <w:sz w:val="19"/>
              </w:rPr>
              <w:t>498.6</w:t>
            </w:r>
          </w:p>
        </w:tc>
        <w:tc>
          <w:tcPr>
            <w:tcW w:type="dxa" w:w="1512"/>
          </w:tcPr>
          <w:p>
            <w:r>
              <w:rPr>
                <w:rFonts w:ascii="Times New Roman" w:hAnsi="Times New Roman"/>
                <w:sz w:val="19"/>
              </w:rPr>
              <w:t>4.3</w:t>
            </w:r>
          </w:p>
        </w:tc>
        <w:tc>
          <w:tcPr>
            <w:tcW w:type="dxa" w:w="1512"/>
          </w:tcPr>
          <w:p>
            <w:r>
              <w:rPr>
                <w:rFonts w:ascii="Times New Roman" w:hAnsi="Times New Roman"/>
                <w:sz w:val="19"/>
              </w:rPr>
              <w:t>102</w:t>
            </w:r>
          </w:p>
        </w:tc>
        <w:tc>
          <w:tcPr>
            <w:tcW w:type="dxa" w:w="1512"/>
          </w:tcPr>
          <w:p>
            <w:r>
              <w:rPr>
                <w:rFonts w:ascii="Times New Roman" w:hAnsi="Times New Roman"/>
                <w:sz w:val="19"/>
              </w:rPr>
              <w:t>2</w:t>
            </w:r>
          </w:p>
        </w:tc>
        <w:tc>
          <w:tcPr>
            <w:tcW w:type="dxa" w:w="1512"/>
          </w:tcPr>
          <w:p>
            <w:r>
              <w:rPr>
                <w:rFonts w:ascii="Times New Roman" w:hAnsi="Times New Roman"/>
                <w:sz w:val="19"/>
              </w:rPr>
              <w:t>7</w:t>
            </w:r>
          </w:p>
        </w:tc>
      </w:tr>
      <w:tr>
        <w:tc>
          <w:tcPr>
            <w:tcW w:type="dxa" w:w="1512"/>
          </w:tcPr>
          <w:p>
            <w:r>
              <w:rPr>
                <w:rFonts w:ascii="Times New Roman" w:hAnsi="Times New Roman"/>
                <w:sz w:val="19"/>
              </w:rPr>
              <w:t>lopinavir</w:t>
            </w:r>
          </w:p>
        </w:tc>
        <w:tc>
          <w:tcPr>
            <w:tcW w:type="dxa" w:w="1512"/>
          </w:tcPr>
          <w:p>
            <w:r>
              <w:rPr>
                <w:rFonts w:ascii="Times New Roman" w:hAnsi="Times New Roman"/>
                <w:sz w:val="19"/>
              </w:rPr>
              <w:t>628.8</w:t>
            </w:r>
          </w:p>
        </w:tc>
        <w:tc>
          <w:tcPr>
            <w:tcW w:type="dxa" w:w="1512"/>
          </w:tcPr>
          <w:p>
            <w:r>
              <w:rPr>
                <w:rFonts w:ascii="Times New Roman" w:hAnsi="Times New Roman"/>
                <w:sz w:val="19"/>
              </w:rPr>
              <w:t>5.9</w:t>
            </w:r>
          </w:p>
        </w:tc>
        <w:tc>
          <w:tcPr>
            <w:tcW w:type="dxa" w:w="1512"/>
          </w:tcPr>
          <w:p>
            <w:r>
              <w:rPr>
                <w:rFonts w:ascii="Times New Roman" w:hAnsi="Times New Roman"/>
                <w:sz w:val="19"/>
              </w:rPr>
              <w:t>120</w:t>
            </w:r>
          </w:p>
        </w:tc>
        <w:tc>
          <w:tcPr>
            <w:tcW w:type="dxa" w:w="1512"/>
          </w:tcPr>
          <w:p>
            <w:r>
              <w:rPr>
                <w:rFonts w:ascii="Times New Roman" w:hAnsi="Times New Roman"/>
                <w:sz w:val="19"/>
              </w:rPr>
              <w:t>4</w:t>
            </w:r>
          </w:p>
        </w:tc>
        <w:tc>
          <w:tcPr>
            <w:tcW w:type="dxa" w:w="1512"/>
          </w:tcPr>
          <w:p>
            <w:r>
              <w:rPr>
                <w:rFonts w:ascii="Times New Roman" w:hAnsi="Times New Roman"/>
                <w:sz w:val="19"/>
              </w:rPr>
              <w:t>5</w:t>
            </w:r>
          </w:p>
        </w:tc>
      </w:tr>
      <w:tr>
        <w:tc>
          <w:tcPr>
            <w:tcW w:type="dxa" w:w="1512"/>
          </w:tcPr>
          <w:p>
            <w:r>
              <w:rPr>
                <w:rFonts w:ascii="Times New Roman" w:hAnsi="Times New Roman"/>
                <w:sz w:val="19"/>
              </w:rPr>
              <w:t>atazanavir</w:t>
            </w:r>
          </w:p>
        </w:tc>
        <w:tc>
          <w:tcPr>
            <w:tcW w:type="dxa" w:w="1512"/>
          </w:tcPr>
          <w:p>
            <w:r>
              <w:rPr>
                <w:rFonts w:ascii="Times New Roman" w:hAnsi="Times New Roman"/>
                <w:sz w:val="19"/>
              </w:rPr>
              <w:t>704.9</w:t>
            </w:r>
          </w:p>
        </w:tc>
        <w:tc>
          <w:tcPr>
            <w:tcW w:type="dxa" w:w="1512"/>
          </w:tcPr>
          <w:p>
            <w:r>
              <w:rPr>
                <w:rFonts w:ascii="Times New Roman" w:hAnsi="Times New Roman"/>
                <w:sz w:val="19"/>
              </w:rPr>
              <w:t>5.6</w:t>
            </w:r>
          </w:p>
        </w:tc>
        <w:tc>
          <w:tcPr>
            <w:tcW w:type="dxa" w:w="1512"/>
          </w:tcPr>
          <w:p>
            <w:r>
              <w:rPr>
                <w:rFonts w:ascii="Times New Roman" w:hAnsi="Times New Roman"/>
                <w:sz w:val="19"/>
              </w:rPr>
              <w:t>171</w:t>
            </w:r>
          </w:p>
        </w:tc>
        <w:tc>
          <w:tcPr>
            <w:tcW w:type="dxa" w:w="1512"/>
          </w:tcPr>
          <w:p>
            <w:r>
              <w:rPr>
                <w:rFonts w:ascii="Times New Roman" w:hAnsi="Times New Roman"/>
                <w:sz w:val="19"/>
              </w:rPr>
              <w:t>5</w:t>
            </w:r>
          </w:p>
        </w:tc>
        <w:tc>
          <w:tcPr>
            <w:tcW w:type="dxa" w:w="1512"/>
          </w:tcPr>
          <w:p>
            <w:r>
              <w:rPr>
                <w:rFonts w:ascii="Times New Roman" w:hAnsi="Times New Roman"/>
                <w:sz w:val="19"/>
              </w:rPr>
              <w:t>9</w:t>
            </w:r>
          </w:p>
        </w:tc>
      </w:tr>
      <w:tr>
        <w:tc>
          <w:tcPr>
            <w:tcW w:type="dxa" w:w="1512"/>
          </w:tcPr>
          <w:p>
            <w:r>
              <w:rPr>
                <w:rFonts w:ascii="Times New Roman" w:hAnsi="Times New Roman"/>
                <w:sz w:val="19"/>
              </w:rPr>
              <w:t>darunavir</w:t>
            </w:r>
          </w:p>
        </w:tc>
        <w:tc>
          <w:tcPr>
            <w:tcW w:type="dxa" w:w="1512"/>
          </w:tcPr>
          <w:p>
            <w:r>
              <w:rPr>
                <w:rFonts w:ascii="Times New Roman" w:hAnsi="Times New Roman"/>
                <w:sz w:val="19"/>
              </w:rPr>
              <w:t>547.7</w:t>
            </w:r>
          </w:p>
        </w:tc>
        <w:tc>
          <w:tcPr>
            <w:tcW w:type="dxa" w:w="1512"/>
          </w:tcPr>
          <w:p>
            <w:r>
              <w:rPr>
                <w:rFonts w:ascii="Times New Roman" w:hAnsi="Times New Roman"/>
                <w:sz w:val="19"/>
              </w:rPr>
              <w:t>2.9</w:t>
            </w:r>
          </w:p>
        </w:tc>
        <w:tc>
          <w:tcPr>
            <w:tcW w:type="dxa" w:w="1512"/>
          </w:tcPr>
          <w:p>
            <w:r>
              <w:rPr>
                <w:rFonts w:ascii="Times New Roman" w:hAnsi="Times New Roman"/>
                <w:sz w:val="19"/>
              </w:rPr>
              <w:t>149</w:t>
            </w:r>
          </w:p>
        </w:tc>
        <w:tc>
          <w:tcPr>
            <w:tcW w:type="dxa" w:w="1512"/>
          </w:tcPr>
          <w:p>
            <w:r>
              <w:rPr>
                <w:rFonts w:ascii="Times New Roman" w:hAnsi="Times New Roman"/>
                <w:sz w:val="19"/>
              </w:rPr>
              <w:t>3</w:t>
            </w:r>
          </w:p>
        </w:tc>
        <w:tc>
          <w:tcPr>
            <w:tcW w:type="dxa" w:w="1512"/>
          </w:tcPr>
          <w:p>
            <w:r>
              <w:rPr>
                <w:rFonts w:ascii="Times New Roman" w:hAnsi="Times New Roman"/>
                <w:sz w:val="19"/>
              </w:rPr>
              <w:t>9</w:t>
            </w:r>
          </w:p>
        </w:tc>
      </w:tr>
      <w:tr>
        <w:tc>
          <w:tcPr>
            <w:tcW w:type="dxa" w:w="1512"/>
          </w:tcPr>
          <w:p>
            <w:r>
              <w:rPr>
                <w:rFonts w:ascii="Times New Roman" w:hAnsi="Times New Roman"/>
                <w:sz w:val="19"/>
              </w:rPr>
              <w:t>saquinavir</w:t>
            </w:r>
          </w:p>
        </w:tc>
        <w:tc>
          <w:tcPr>
            <w:tcW w:type="dxa" w:w="1512"/>
          </w:tcPr>
          <w:p>
            <w:r>
              <w:rPr>
                <w:rFonts w:ascii="Times New Roman" w:hAnsi="Times New Roman"/>
                <w:sz w:val="19"/>
              </w:rPr>
              <w:t>670.8</w:t>
            </w:r>
          </w:p>
        </w:tc>
        <w:tc>
          <w:tcPr>
            <w:tcW w:type="dxa" w:w="1512"/>
          </w:tcPr>
          <w:p>
            <w:r>
              <w:rPr>
                <w:rFonts w:ascii="Times New Roman" w:hAnsi="Times New Roman"/>
                <w:sz w:val="19"/>
              </w:rPr>
              <w:t>4.2</w:t>
            </w:r>
          </w:p>
        </w:tc>
        <w:tc>
          <w:tcPr>
            <w:tcW w:type="dxa" w:w="1512"/>
          </w:tcPr>
          <w:p>
            <w:r>
              <w:rPr>
                <w:rFonts w:ascii="Times New Roman" w:hAnsi="Times New Roman"/>
                <w:sz w:val="19"/>
              </w:rPr>
              <w:t>167</w:t>
            </w:r>
          </w:p>
        </w:tc>
        <w:tc>
          <w:tcPr>
            <w:tcW w:type="dxa" w:w="1512"/>
          </w:tcPr>
          <w:p>
            <w:r>
              <w:rPr>
                <w:rFonts w:ascii="Times New Roman" w:hAnsi="Times New Roman"/>
                <w:sz w:val="19"/>
              </w:rPr>
              <w:t>5</w:t>
            </w:r>
          </w:p>
        </w:tc>
        <w:tc>
          <w:tcPr>
            <w:tcW w:type="dxa" w:w="1512"/>
          </w:tcPr>
          <w:p>
            <w:r>
              <w:rPr>
                <w:rFonts w:ascii="Times New Roman" w:hAnsi="Times New Roman"/>
                <w:sz w:val="19"/>
              </w:rPr>
              <w:t>7</w:t>
            </w:r>
          </w:p>
        </w:tc>
      </w:tr>
      <w:tr>
        <w:tc>
          <w:tcPr>
            <w:tcW w:type="dxa" w:w="1512"/>
          </w:tcPr>
          <w:p>
            <w:r>
              <w:rPr>
                <w:rFonts w:ascii="Times New Roman" w:hAnsi="Times New Roman"/>
                <w:sz w:val="19"/>
              </w:rPr>
              <w:t>indinavir</w:t>
            </w:r>
          </w:p>
        </w:tc>
        <w:tc>
          <w:tcPr>
            <w:tcW w:type="dxa" w:w="1512"/>
          </w:tcPr>
          <w:p>
            <w:r>
              <w:rPr>
                <w:rFonts w:ascii="Times New Roman" w:hAnsi="Times New Roman"/>
                <w:sz w:val="19"/>
              </w:rPr>
              <w:t>613.8</w:t>
            </w:r>
          </w:p>
        </w:tc>
        <w:tc>
          <w:tcPr>
            <w:tcW w:type="dxa" w:w="1512"/>
          </w:tcPr>
          <w:p>
            <w:r>
              <w:rPr>
                <w:rFonts w:ascii="Times New Roman" w:hAnsi="Times New Roman"/>
                <w:sz w:val="19"/>
              </w:rPr>
              <w:t>2.8</w:t>
            </w:r>
          </w:p>
        </w:tc>
        <w:tc>
          <w:tcPr>
            <w:tcW w:type="dxa" w:w="1512"/>
          </w:tcPr>
          <w:p>
            <w:r>
              <w:rPr>
                <w:rFonts w:ascii="Times New Roman" w:hAnsi="Times New Roman"/>
                <w:sz w:val="19"/>
              </w:rPr>
              <w:t>118</w:t>
            </w:r>
          </w:p>
        </w:tc>
        <w:tc>
          <w:tcPr>
            <w:tcW w:type="dxa" w:w="1512"/>
          </w:tcPr>
          <w:p>
            <w:r>
              <w:rPr>
                <w:rFonts w:ascii="Times New Roman" w:hAnsi="Times New Roman"/>
                <w:sz w:val="19"/>
              </w:rPr>
              <w:t>4</w:t>
            </w:r>
          </w:p>
        </w:tc>
        <w:tc>
          <w:tcPr>
            <w:tcW w:type="dxa" w:w="1512"/>
          </w:tcPr>
          <w:p>
            <w:r>
              <w:rPr>
                <w:rFonts w:ascii="Times New Roman" w:hAnsi="Times New Roman"/>
                <w:sz w:val="19"/>
              </w:rPr>
              <w:t>7</w:t>
            </w:r>
          </w:p>
        </w:tc>
      </w:tr>
      <w:tr>
        <w:tc>
          <w:tcPr>
            <w:tcW w:type="dxa" w:w="1512"/>
          </w:tcPr>
          <w:p>
            <w:r>
              <w:rPr>
                <w:rFonts w:ascii="Times New Roman" w:hAnsi="Times New Roman"/>
                <w:sz w:val="19"/>
              </w:rPr>
              <w:t>nelfinavir</w:t>
            </w:r>
          </w:p>
        </w:tc>
        <w:tc>
          <w:tcPr>
            <w:tcW w:type="dxa" w:w="1512"/>
          </w:tcPr>
          <w:p>
            <w:r>
              <w:rPr>
                <w:rFonts w:ascii="Times New Roman" w:hAnsi="Times New Roman"/>
                <w:sz w:val="19"/>
              </w:rPr>
              <w:t>567.8</w:t>
            </w:r>
          </w:p>
        </w:tc>
        <w:tc>
          <w:tcPr>
            <w:tcW w:type="dxa" w:w="1512"/>
          </w:tcPr>
          <w:p>
            <w:r>
              <w:rPr>
                <w:rFonts w:ascii="Times New Roman" w:hAnsi="Times New Roman"/>
                <w:sz w:val="19"/>
              </w:rPr>
              <w:t>5.7</w:t>
            </w:r>
          </w:p>
        </w:tc>
        <w:tc>
          <w:tcPr>
            <w:tcW w:type="dxa" w:w="1512"/>
          </w:tcPr>
          <w:p>
            <w:r>
              <w:rPr>
                <w:rFonts w:ascii="Times New Roman" w:hAnsi="Times New Roman"/>
                <w:sz w:val="19"/>
              </w:rPr>
              <w:t>127</w:t>
            </w:r>
          </w:p>
        </w:tc>
        <w:tc>
          <w:tcPr>
            <w:tcW w:type="dxa" w:w="1512"/>
          </w:tcPr>
          <w:p>
            <w:r>
              <w:rPr>
                <w:rFonts w:ascii="Times New Roman" w:hAnsi="Times New Roman"/>
                <w:sz w:val="19"/>
              </w:rPr>
              <w:t>4</w:t>
            </w:r>
          </w:p>
        </w:tc>
        <w:tc>
          <w:tcPr>
            <w:tcW w:type="dxa" w:w="1512"/>
          </w:tcPr>
          <w:p>
            <w:r>
              <w:rPr>
                <w:rFonts w:ascii="Times New Roman" w:hAnsi="Times New Roman"/>
                <w:sz w:val="19"/>
              </w:rPr>
              <w:t>6</w:t>
            </w:r>
          </w:p>
        </w:tc>
      </w:tr>
      <w:tr>
        <w:tc>
          <w:tcPr>
            <w:tcW w:type="dxa" w:w="1512"/>
          </w:tcPr>
          <w:p>
            <w:r>
              <w:rPr>
                <w:rFonts w:ascii="Times New Roman" w:hAnsi="Times New Roman"/>
                <w:sz w:val="19"/>
              </w:rPr>
              <w:t>chloroquine</w:t>
            </w:r>
          </w:p>
        </w:tc>
        <w:tc>
          <w:tcPr>
            <w:tcW w:type="dxa" w:w="1512"/>
          </w:tcPr>
          <w:p>
            <w:r>
              <w:rPr>
                <w:rFonts w:ascii="Times New Roman" w:hAnsi="Times New Roman"/>
                <w:sz w:val="19"/>
              </w:rPr>
              <w:t>319.9</w:t>
            </w:r>
          </w:p>
        </w:tc>
        <w:tc>
          <w:tcPr>
            <w:tcW w:type="dxa" w:w="1512"/>
          </w:tcPr>
          <w:p>
            <w:r>
              <w:rPr>
                <w:rFonts w:ascii="Times New Roman" w:hAnsi="Times New Roman"/>
                <w:sz w:val="19"/>
              </w:rPr>
              <w:t>4.6</w:t>
            </w:r>
          </w:p>
        </w:tc>
        <w:tc>
          <w:tcPr>
            <w:tcW w:type="dxa" w:w="1512"/>
          </w:tcPr>
          <w:p>
            <w:r>
              <w:rPr>
                <w:rFonts w:ascii="Times New Roman" w:hAnsi="Times New Roman"/>
                <w:sz w:val="19"/>
              </w:rPr>
              <w:t>28.2</w:t>
            </w:r>
          </w:p>
        </w:tc>
        <w:tc>
          <w:tcPr>
            <w:tcW w:type="dxa" w:w="1512"/>
          </w:tcPr>
          <w:p>
            <w:r>
              <w:rPr>
                <w:rFonts w:ascii="Times New Roman" w:hAnsi="Times New Roman"/>
                <w:sz w:val="19"/>
              </w:rPr>
              <w:t>1</w:t>
            </w:r>
          </w:p>
        </w:tc>
        <w:tc>
          <w:tcPr>
            <w:tcW w:type="dxa" w:w="1512"/>
          </w:tcPr>
          <w:p>
            <w:r>
              <w:rPr>
                <w:rFonts w:ascii="Times New Roman" w:hAnsi="Times New Roman"/>
                <w:sz w:val="19"/>
              </w:rPr>
              <w:t>3</w:t>
            </w:r>
          </w:p>
        </w:tc>
      </w:tr>
      <w:tr>
        <w:tc>
          <w:tcPr>
            <w:tcW w:type="dxa" w:w="1512"/>
          </w:tcPr>
          <w:p>
            <w:r>
              <w:rPr>
                <w:rFonts w:ascii="Times New Roman" w:hAnsi="Times New Roman"/>
                <w:sz w:val="19"/>
              </w:rPr>
              <w:t>hydroxychloroquine</w:t>
            </w:r>
          </w:p>
        </w:tc>
        <w:tc>
          <w:tcPr>
            <w:tcW w:type="dxa" w:w="1512"/>
          </w:tcPr>
          <w:p>
            <w:r>
              <w:rPr>
                <w:rFonts w:ascii="Times New Roman" w:hAnsi="Times New Roman"/>
                <w:sz w:val="19"/>
              </w:rPr>
              <w:t>335.9</w:t>
            </w:r>
          </w:p>
        </w:tc>
        <w:tc>
          <w:tcPr>
            <w:tcW w:type="dxa" w:w="1512"/>
          </w:tcPr>
          <w:p>
            <w:r>
              <w:rPr>
                <w:rFonts w:ascii="Times New Roman" w:hAnsi="Times New Roman"/>
                <w:sz w:val="19"/>
              </w:rPr>
              <w:t>3.6</w:t>
            </w:r>
          </w:p>
        </w:tc>
        <w:tc>
          <w:tcPr>
            <w:tcW w:type="dxa" w:w="1512"/>
          </w:tcPr>
          <w:p>
            <w:r>
              <w:rPr>
                <w:rFonts w:ascii="Times New Roman" w:hAnsi="Times New Roman"/>
                <w:sz w:val="19"/>
              </w:rPr>
              <w:t>48.4</w:t>
            </w:r>
          </w:p>
        </w:tc>
        <w:tc>
          <w:tcPr>
            <w:tcW w:type="dxa" w:w="1512"/>
          </w:tcPr>
          <w:p>
            <w:r>
              <w:rPr>
                <w:rFonts w:ascii="Times New Roman" w:hAnsi="Times New Roman"/>
                <w:sz w:val="19"/>
              </w:rPr>
              <w:t>2</w:t>
            </w:r>
          </w:p>
        </w:tc>
        <w:tc>
          <w:tcPr>
            <w:tcW w:type="dxa" w:w="1512"/>
          </w:tcPr>
          <w:p>
            <w:r>
              <w:rPr>
                <w:rFonts w:ascii="Times New Roman" w:hAnsi="Times New Roman"/>
                <w:sz w:val="19"/>
              </w:rPr>
              <w:t>4</w:t>
            </w:r>
          </w:p>
        </w:tc>
      </w:tr>
      <w:tr>
        <w:tc>
          <w:tcPr>
            <w:tcW w:type="dxa" w:w="1512"/>
          </w:tcPr>
          <w:p>
            <w:r>
              <w:rPr>
                <w:rFonts w:ascii="Times New Roman" w:hAnsi="Times New Roman"/>
                <w:sz w:val="19"/>
              </w:rPr>
              <w:t>ritonavir</w:t>
            </w:r>
          </w:p>
        </w:tc>
        <w:tc>
          <w:tcPr>
            <w:tcW w:type="dxa" w:w="1512"/>
          </w:tcPr>
          <w:p>
            <w:r>
              <w:rPr>
                <w:rFonts w:ascii="Times New Roman" w:hAnsi="Times New Roman"/>
                <w:sz w:val="19"/>
              </w:rPr>
              <w:t>720.9</w:t>
            </w:r>
          </w:p>
        </w:tc>
        <w:tc>
          <w:tcPr>
            <w:tcW w:type="dxa" w:w="1512"/>
          </w:tcPr>
          <w:p>
            <w:r>
              <w:rPr>
                <w:rFonts w:ascii="Times New Roman" w:hAnsi="Times New Roman"/>
                <w:sz w:val="19"/>
              </w:rPr>
              <w:t>6</w:t>
            </w:r>
          </w:p>
        </w:tc>
        <w:tc>
          <w:tcPr>
            <w:tcW w:type="dxa" w:w="1512"/>
          </w:tcPr>
          <w:p>
            <w:r>
              <w:rPr>
                <w:rFonts w:ascii="Times New Roman" w:hAnsi="Times New Roman"/>
                <w:sz w:val="19"/>
              </w:rPr>
              <w:t>202</w:t>
            </w:r>
          </w:p>
        </w:tc>
        <w:tc>
          <w:tcPr>
            <w:tcW w:type="dxa" w:w="1512"/>
          </w:tcPr>
          <w:p>
            <w:r>
              <w:rPr>
                <w:rFonts w:ascii="Times New Roman" w:hAnsi="Times New Roman"/>
                <w:sz w:val="19"/>
              </w:rPr>
              <w:t>4</w:t>
            </w:r>
          </w:p>
        </w:tc>
        <w:tc>
          <w:tcPr>
            <w:tcW w:type="dxa" w:w="1512"/>
          </w:tcPr>
          <w:p>
            <w:r>
              <w:rPr>
                <w:rFonts w:ascii="Times New Roman" w:hAnsi="Times New Roman"/>
                <w:sz w:val="19"/>
              </w:rPr>
              <w:t>9</w:t>
            </w:r>
          </w:p>
        </w:tc>
      </w:tr>
      <w:tr>
        <w:tc>
          <w:tcPr>
            <w:tcW w:type="dxa" w:w="1512"/>
          </w:tcPr>
          <w:p>
            <w:r>
              <w:rPr>
                <w:rFonts w:ascii="Times New Roman" w:hAnsi="Times New Roman"/>
                <w:sz w:val="19"/>
              </w:rPr>
              <w:t>remdesivir</w:t>
            </w:r>
          </w:p>
        </w:tc>
        <w:tc>
          <w:tcPr>
            <w:tcW w:type="dxa" w:w="1512"/>
          </w:tcPr>
          <w:p>
            <w:r>
              <w:rPr>
                <w:rFonts w:ascii="Times New Roman" w:hAnsi="Times New Roman"/>
                <w:sz w:val="19"/>
              </w:rPr>
              <w:t>602.6</w:t>
            </w:r>
          </w:p>
        </w:tc>
        <w:tc>
          <w:tcPr>
            <w:tcW w:type="dxa" w:w="1512"/>
          </w:tcPr>
          <w:p>
            <w:r>
              <w:rPr>
                <w:rFonts w:ascii="Times New Roman" w:hAnsi="Times New Roman"/>
                <w:sz w:val="19"/>
              </w:rPr>
              <w:t>1.9</w:t>
            </w:r>
          </w:p>
        </w:tc>
        <w:tc>
          <w:tcPr>
            <w:tcW w:type="dxa" w:w="1512"/>
          </w:tcPr>
          <w:p>
            <w:r>
              <w:rPr>
                <w:rFonts w:ascii="Times New Roman" w:hAnsi="Times New Roman"/>
                <w:sz w:val="19"/>
              </w:rPr>
              <w:t>204</w:t>
            </w:r>
          </w:p>
        </w:tc>
        <w:tc>
          <w:tcPr>
            <w:tcW w:type="dxa" w:w="1512"/>
          </w:tcPr>
          <w:p>
            <w:r>
              <w:rPr>
                <w:rFonts w:ascii="Times New Roman" w:hAnsi="Times New Roman"/>
                <w:sz w:val="19"/>
              </w:rPr>
              <w:t>4</w:t>
            </w:r>
          </w:p>
        </w:tc>
        <w:tc>
          <w:tcPr>
            <w:tcW w:type="dxa" w:w="1512"/>
          </w:tcPr>
          <w:p>
            <w:r>
              <w:rPr>
                <w:rFonts w:ascii="Times New Roman" w:hAnsi="Times New Roman"/>
                <w:sz w:val="19"/>
              </w:rPr>
              <w:t>13</w:t>
            </w:r>
          </w:p>
        </w:tc>
      </w:tr>
      <w:tr>
        <w:tc>
          <w:tcPr>
            <w:tcW w:type="dxa" w:w="1512"/>
          </w:tcPr>
          <w:p>
            <w:r>
              <w:rPr>
                <w:rFonts w:ascii="Times New Roman" w:hAnsi="Times New Roman"/>
                <w:sz w:val="19"/>
              </w:rPr>
              <w:t>molnupiravir</w:t>
            </w:r>
          </w:p>
        </w:tc>
        <w:tc>
          <w:tcPr>
            <w:tcW w:type="dxa" w:w="1512"/>
          </w:tcPr>
          <w:p>
            <w:r>
              <w:rPr>
                <w:rFonts w:ascii="Times New Roman" w:hAnsi="Times New Roman"/>
                <w:sz w:val="19"/>
              </w:rPr>
              <w:t>329.31</w:t>
            </w:r>
          </w:p>
        </w:tc>
        <w:tc>
          <w:tcPr>
            <w:tcW w:type="dxa" w:w="1512"/>
          </w:tcPr>
          <w:p>
            <w:r>
              <w:rPr>
                <w:rFonts w:ascii="Times New Roman" w:hAnsi="Times New Roman"/>
                <w:sz w:val="19"/>
              </w:rPr>
              <w:t>-0.8</w:t>
            </w:r>
          </w:p>
        </w:tc>
        <w:tc>
          <w:tcPr>
            <w:tcW w:type="dxa" w:w="1512"/>
          </w:tcPr>
          <w:p>
            <w:r>
              <w:rPr>
                <w:rFonts w:ascii="Times New Roman" w:hAnsi="Times New Roman"/>
                <w:sz w:val="19"/>
              </w:rPr>
              <w:t>141</w:t>
            </w:r>
          </w:p>
        </w:tc>
        <w:tc>
          <w:tcPr>
            <w:tcW w:type="dxa" w:w="1512"/>
          </w:tcPr>
          <w:p>
            <w:r>
              <w:rPr>
                <w:rFonts w:ascii="Times New Roman" w:hAnsi="Times New Roman"/>
                <w:sz w:val="19"/>
              </w:rPr>
              <w:t>4</w:t>
            </w:r>
          </w:p>
        </w:tc>
        <w:tc>
          <w:tcPr>
            <w:tcW w:type="dxa" w:w="1512"/>
          </w:tcPr>
          <w:p>
            <w:r>
              <w:rPr>
                <w:rFonts w:ascii="Times New Roman" w:hAnsi="Times New Roman"/>
                <w:sz w:val="19"/>
              </w:rPr>
              <w:t>7</w:t>
            </w:r>
          </w:p>
        </w:tc>
      </w:tr>
      <w:tr>
        <w:tc>
          <w:tcPr>
            <w:tcW w:type="dxa" w:w="1512"/>
          </w:tcPr>
          <w:p>
            <w:r>
              <w:rPr>
                <w:rFonts w:ascii="Times New Roman" w:hAnsi="Times New Roman"/>
                <w:sz w:val="19"/>
              </w:rPr>
              <w:t>favipiravir</w:t>
            </w:r>
          </w:p>
        </w:tc>
        <w:tc>
          <w:tcPr>
            <w:tcW w:type="dxa" w:w="1512"/>
          </w:tcPr>
          <w:p>
            <w:r>
              <w:rPr>
                <w:rFonts w:ascii="Times New Roman" w:hAnsi="Times New Roman"/>
                <w:sz w:val="19"/>
              </w:rPr>
              <w:t>157.10</w:t>
            </w:r>
          </w:p>
        </w:tc>
        <w:tc>
          <w:tcPr>
            <w:tcW w:type="dxa" w:w="1512"/>
          </w:tcPr>
          <w:p>
            <w:r>
              <w:rPr>
                <w:rFonts w:ascii="Times New Roman" w:hAnsi="Times New Roman"/>
                <w:sz w:val="19"/>
              </w:rPr>
              <w:t>-0.6</w:t>
            </w:r>
          </w:p>
        </w:tc>
        <w:tc>
          <w:tcPr>
            <w:tcW w:type="dxa" w:w="1512"/>
          </w:tcPr>
          <w:p>
            <w:r>
              <w:rPr>
                <w:rFonts w:ascii="Times New Roman" w:hAnsi="Times New Roman"/>
                <w:sz w:val="19"/>
              </w:rPr>
              <w:t>84.6</w:t>
            </w:r>
          </w:p>
        </w:tc>
        <w:tc>
          <w:tcPr>
            <w:tcW w:type="dxa" w:w="1512"/>
          </w:tcPr>
          <w:p>
            <w:r>
              <w:rPr>
                <w:rFonts w:ascii="Times New Roman" w:hAnsi="Times New Roman"/>
                <w:sz w:val="19"/>
              </w:rPr>
              <w:t>2</w:t>
            </w:r>
          </w:p>
        </w:tc>
        <w:tc>
          <w:tcPr>
            <w:tcW w:type="dxa" w:w="1512"/>
          </w:tcPr>
          <w:p>
            <w:r>
              <w:rPr>
                <w:rFonts w:ascii="Times New Roman" w:hAnsi="Times New Roman"/>
                <w:sz w:val="19"/>
              </w:rPr>
              <w:t>4</w:t>
            </w:r>
          </w:p>
        </w:tc>
      </w:tr>
      <w:tr>
        <w:tc>
          <w:tcPr>
            <w:tcW w:type="dxa" w:w="1512"/>
          </w:tcPr>
          <w:p>
            <w:r>
              <w:rPr>
                <w:rFonts w:ascii="Times New Roman" w:hAnsi="Times New Roman"/>
                <w:sz w:val="19"/>
              </w:rPr>
              <w:t>camostat</w:t>
            </w:r>
          </w:p>
        </w:tc>
        <w:tc>
          <w:tcPr>
            <w:tcW w:type="dxa" w:w="1512"/>
          </w:tcPr>
          <w:p>
            <w:r>
              <w:rPr>
                <w:rFonts w:ascii="Times New Roman" w:hAnsi="Times New Roman"/>
                <w:sz w:val="19"/>
              </w:rPr>
              <w:t>398.4</w:t>
            </w:r>
          </w:p>
        </w:tc>
        <w:tc>
          <w:tcPr>
            <w:tcW w:type="dxa" w:w="1512"/>
          </w:tcPr>
          <w:p>
            <w:r>
              <w:rPr>
                <w:rFonts w:ascii="Times New Roman" w:hAnsi="Times New Roman"/>
                <w:sz w:val="19"/>
              </w:rPr>
              <w:t>1.1</w:t>
            </w:r>
          </w:p>
        </w:tc>
        <w:tc>
          <w:tcPr>
            <w:tcW w:type="dxa" w:w="1512"/>
          </w:tcPr>
          <w:p>
            <w:r>
              <w:rPr>
                <w:rFonts w:ascii="Times New Roman" w:hAnsi="Times New Roman"/>
                <w:sz w:val="19"/>
              </w:rPr>
              <w:t>137</w:t>
            </w:r>
          </w:p>
        </w:tc>
        <w:tc>
          <w:tcPr>
            <w:tcW w:type="dxa" w:w="1512"/>
          </w:tcPr>
          <w:p>
            <w:r>
              <w:rPr>
                <w:rFonts w:ascii="Times New Roman" w:hAnsi="Times New Roman"/>
                <w:sz w:val="19"/>
              </w:rPr>
              <w:t>2</w:t>
            </w:r>
          </w:p>
        </w:tc>
        <w:tc>
          <w:tcPr>
            <w:tcW w:type="dxa" w:w="1512"/>
          </w:tcPr>
          <w:p>
            <w:r>
              <w:rPr>
                <w:rFonts w:ascii="Times New Roman" w:hAnsi="Times New Roman"/>
                <w:sz w:val="19"/>
              </w:rPr>
              <w:t>6</w:t>
            </w:r>
          </w:p>
        </w:tc>
      </w:tr>
      <w:tr>
        <w:tc>
          <w:tcPr>
            <w:tcW w:type="dxa" w:w="1512"/>
          </w:tcPr>
          <w:p>
            <w:r>
              <w:rPr>
                <w:rFonts w:ascii="Times New Roman" w:hAnsi="Times New Roman"/>
                <w:sz w:val="19"/>
              </w:rPr>
              <w:t>nafamostat</w:t>
            </w:r>
          </w:p>
        </w:tc>
        <w:tc>
          <w:tcPr>
            <w:tcW w:type="dxa" w:w="1512"/>
          </w:tcPr>
          <w:p>
            <w:r>
              <w:rPr>
                <w:rFonts w:ascii="Times New Roman" w:hAnsi="Times New Roman"/>
                <w:sz w:val="19"/>
              </w:rPr>
              <w:t>347.4</w:t>
            </w:r>
          </w:p>
        </w:tc>
        <w:tc>
          <w:tcPr>
            <w:tcW w:type="dxa" w:w="1512"/>
          </w:tcPr>
          <w:p>
            <w:r>
              <w:rPr>
                <w:rFonts w:ascii="Times New Roman" w:hAnsi="Times New Roman"/>
                <w:sz w:val="19"/>
              </w:rPr>
              <w:t>2</w:t>
            </w:r>
          </w:p>
        </w:tc>
        <w:tc>
          <w:tcPr>
            <w:tcW w:type="dxa" w:w="1512"/>
          </w:tcPr>
          <w:p>
            <w:r>
              <w:rPr>
                <w:rFonts w:ascii="Times New Roman" w:hAnsi="Times New Roman"/>
                <w:sz w:val="19"/>
              </w:rPr>
              <w:t>141</w:t>
            </w:r>
          </w:p>
        </w:tc>
        <w:tc>
          <w:tcPr>
            <w:tcW w:type="dxa" w:w="1512"/>
          </w:tcPr>
          <w:p>
            <w:r>
              <w:rPr>
                <w:rFonts w:ascii="Times New Roman" w:hAnsi="Times New Roman"/>
                <w:sz w:val="19"/>
              </w:rPr>
              <w:t>4</w:t>
            </w:r>
          </w:p>
        </w:tc>
        <w:tc>
          <w:tcPr>
            <w:tcW w:type="dxa" w:w="1512"/>
          </w:tcPr>
          <w:p>
            <w:r>
              <w:rPr>
                <w:rFonts w:ascii="Times New Roman" w:hAnsi="Times New Roman"/>
                <w:sz w:val="19"/>
              </w:rPr>
              <w:t>4</w:t>
            </w:r>
          </w:p>
        </w:tc>
      </w:tr>
      <w:tr>
        <w:tc>
          <w:tcPr>
            <w:tcW w:type="dxa" w:w="1512"/>
          </w:tcPr>
          <w:p>
            <w:r>
              <w:rPr>
                <w:rFonts w:ascii="Times New Roman" w:hAnsi="Times New Roman"/>
                <w:sz w:val="19"/>
              </w:rPr>
              <w:t>nilotinib</w:t>
            </w:r>
          </w:p>
        </w:tc>
        <w:tc>
          <w:tcPr>
            <w:tcW w:type="dxa" w:w="1512"/>
          </w:tcPr>
          <w:p>
            <w:r>
              <w:rPr>
                <w:rFonts w:ascii="Times New Roman" w:hAnsi="Times New Roman"/>
                <w:sz w:val="19"/>
              </w:rPr>
              <w:t>529.5</w:t>
            </w:r>
          </w:p>
        </w:tc>
        <w:tc>
          <w:tcPr>
            <w:tcW w:type="dxa" w:w="1512"/>
          </w:tcPr>
          <w:p>
            <w:r>
              <w:rPr>
                <w:rFonts w:ascii="Times New Roman" w:hAnsi="Times New Roman"/>
                <w:sz w:val="19"/>
              </w:rPr>
              <w:t>4.9</w:t>
            </w:r>
          </w:p>
        </w:tc>
        <w:tc>
          <w:tcPr>
            <w:tcW w:type="dxa" w:w="1512"/>
          </w:tcPr>
          <w:p>
            <w:r>
              <w:rPr>
                <w:rFonts w:ascii="Times New Roman" w:hAnsi="Times New Roman"/>
                <w:sz w:val="19"/>
              </w:rPr>
              <w:t>97.6</w:t>
            </w:r>
          </w:p>
        </w:tc>
        <w:tc>
          <w:tcPr>
            <w:tcW w:type="dxa" w:w="1512"/>
          </w:tcPr>
          <w:p>
            <w:r>
              <w:rPr>
                <w:rFonts w:ascii="Times New Roman" w:hAnsi="Times New Roman"/>
                <w:sz w:val="19"/>
              </w:rPr>
              <w:t>2</w:t>
            </w:r>
          </w:p>
        </w:tc>
        <w:tc>
          <w:tcPr>
            <w:tcW w:type="dxa" w:w="1512"/>
          </w:tcPr>
          <w:p>
            <w:r>
              <w:rPr>
                <w:rFonts w:ascii="Times New Roman" w:hAnsi="Times New Roman"/>
                <w:sz w:val="19"/>
              </w:rPr>
              <w:t>9</w:t>
            </w:r>
          </w:p>
        </w:tc>
      </w:tr>
    </w:tbl>
    <w:p>
      <w:r>
        <w:rPr>
          <w:rFonts w:ascii="Times New Roman" w:hAnsi="Times New Roman"/>
          <w:b w:val="0"/>
          <w:i/>
        </w:rPr>
        <w:t>Table 7. ChEMBL molecule anchors for the screened set (22 live molecule records; 65 assay sets sampled).</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compound</w:t>
            </w:r>
          </w:p>
        </w:tc>
        <w:tc>
          <w:tcPr>
            <w:tcW w:type="dxa" w:w="3024"/>
            <w:shd w:val="clear" w:fill="DCE6F1"/>
          </w:tcPr>
          <w:p>
            <w:r>
              <w:rPr>
                <w:rFonts w:ascii="Times New Roman" w:hAnsi="Times New Roman"/>
                <w:b/>
                <w:sz w:val="19"/>
              </w:rPr>
              <w:t>ChEMBL ID</w:t>
            </w:r>
          </w:p>
        </w:tc>
        <w:tc>
          <w:tcPr>
            <w:tcW w:type="dxa" w:w="3024"/>
            <w:shd w:val="clear" w:fill="DCE6F1"/>
          </w:tcPr>
          <w:p>
            <w:r>
              <w:rPr>
                <w:rFonts w:ascii="Times New Roman" w:hAnsi="Times New Roman"/>
                <w:b/>
                <w:sz w:val="19"/>
              </w:rPr>
              <w:t>assays sampled</w:t>
            </w:r>
          </w:p>
        </w:tc>
      </w:tr>
      <w:tr>
        <w:tc>
          <w:tcPr>
            <w:tcW w:type="dxa" w:w="3024"/>
          </w:tcPr>
          <w:p>
            <w:r>
              <w:rPr>
                <w:rFonts w:ascii="Times New Roman" w:hAnsi="Times New Roman"/>
                <w:sz w:val="19"/>
              </w:rPr>
              <w:t>nirmatrelvir</w:t>
            </w:r>
          </w:p>
        </w:tc>
        <w:tc>
          <w:tcPr>
            <w:tcW w:type="dxa" w:w="3024"/>
          </w:tcPr>
          <w:p>
            <w:r>
              <w:rPr>
                <w:rFonts w:ascii="Times New Roman" w:hAnsi="Times New Roman"/>
                <w:sz w:val="19"/>
              </w:rPr>
              <w:t>CHEMBL5201264</w:t>
            </w:r>
          </w:p>
        </w:tc>
        <w:tc>
          <w:tcPr>
            <w:tcW w:type="dxa" w:w="3024"/>
          </w:tcPr>
          <w:p>
            <w:r>
              <w:rPr>
                <w:rFonts w:ascii="Times New Roman" w:hAnsi="Times New Roman"/>
                <w:sz w:val="19"/>
              </w:rPr>
              <w:t>3</w:t>
            </w:r>
          </w:p>
        </w:tc>
      </w:tr>
      <w:tr>
        <w:tc>
          <w:tcPr>
            <w:tcW w:type="dxa" w:w="3024"/>
          </w:tcPr>
          <w:p>
            <w:r>
              <w:rPr>
                <w:rFonts w:ascii="Times New Roman" w:hAnsi="Times New Roman"/>
                <w:sz w:val="19"/>
              </w:rPr>
              <w:t>boceprevir</w:t>
            </w:r>
          </w:p>
        </w:tc>
        <w:tc>
          <w:tcPr>
            <w:tcW w:type="dxa" w:w="3024"/>
          </w:tcPr>
          <w:p>
            <w:r>
              <w:rPr>
                <w:rFonts w:ascii="Times New Roman" w:hAnsi="Times New Roman"/>
                <w:sz w:val="19"/>
              </w:rPr>
              <w:t>CHEMBL4868590</w:t>
            </w:r>
          </w:p>
        </w:tc>
        <w:tc>
          <w:tcPr>
            <w:tcW w:type="dxa" w:w="3024"/>
          </w:tcPr>
          <w:p>
            <w:r>
              <w:rPr>
                <w:rFonts w:ascii="Times New Roman" w:hAnsi="Times New Roman"/>
                <w:sz w:val="19"/>
              </w:rPr>
              <w:t>2</w:t>
            </w:r>
          </w:p>
        </w:tc>
      </w:tr>
      <w:tr>
        <w:tc>
          <w:tcPr>
            <w:tcW w:type="dxa" w:w="3024"/>
          </w:tcPr>
          <w:p>
            <w:r>
              <w:rPr>
                <w:rFonts w:ascii="Times New Roman" w:hAnsi="Times New Roman"/>
                <w:sz w:val="19"/>
              </w:rPr>
              <w:t>telaprevir</w:t>
            </w:r>
          </w:p>
        </w:tc>
        <w:tc>
          <w:tcPr>
            <w:tcW w:type="dxa" w:w="3024"/>
          </w:tcPr>
          <w:p>
            <w:r>
              <w:rPr>
                <w:rFonts w:ascii="Times New Roman" w:hAnsi="Times New Roman"/>
                <w:sz w:val="19"/>
              </w:rPr>
              <w:t>CHEMBL231813</w:t>
            </w:r>
          </w:p>
        </w:tc>
        <w:tc>
          <w:tcPr>
            <w:tcW w:type="dxa" w:w="3024"/>
          </w:tcPr>
          <w:p>
            <w:r>
              <w:rPr>
                <w:rFonts w:ascii="Times New Roman" w:hAnsi="Times New Roman"/>
                <w:sz w:val="19"/>
              </w:rPr>
              <w:t>3</w:t>
            </w:r>
          </w:p>
        </w:tc>
      </w:tr>
      <w:tr>
        <w:tc>
          <w:tcPr>
            <w:tcW w:type="dxa" w:w="3024"/>
          </w:tcPr>
          <w:p>
            <w:r>
              <w:rPr>
                <w:rFonts w:ascii="Times New Roman" w:hAnsi="Times New Roman"/>
                <w:sz w:val="19"/>
              </w:rPr>
              <w:t>carmofur</w:t>
            </w:r>
          </w:p>
        </w:tc>
        <w:tc>
          <w:tcPr>
            <w:tcW w:type="dxa" w:w="3024"/>
          </w:tcPr>
          <w:p>
            <w:r>
              <w:rPr>
                <w:rFonts w:ascii="Times New Roman" w:hAnsi="Times New Roman"/>
                <w:sz w:val="19"/>
              </w:rPr>
              <w:t>CHEMBL460499</w:t>
            </w:r>
          </w:p>
        </w:tc>
        <w:tc>
          <w:tcPr>
            <w:tcW w:type="dxa" w:w="3024"/>
          </w:tcPr>
          <w:p>
            <w:r>
              <w:rPr>
                <w:rFonts w:ascii="Times New Roman" w:hAnsi="Times New Roman"/>
                <w:sz w:val="19"/>
              </w:rPr>
              <w:t>3</w:t>
            </w:r>
          </w:p>
        </w:tc>
      </w:tr>
      <w:tr>
        <w:tc>
          <w:tcPr>
            <w:tcW w:type="dxa" w:w="3024"/>
          </w:tcPr>
          <w:p>
            <w:r>
              <w:rPr>
                <w:rFonts w:ascii="Times New Roman" w:hAnsi="Times New Roman"/>
                <w:sz w:val="19"/>
              </w:rPr>
              <w:t>disulfiram</w:t>
            </w:r>
          </w:p>
        </w:tc>
        <w:tc>
          <w:tcPr>
            <w:tcW w:type="dxa" w:w="3024"/>
          </w:tcPr>
          <w:p>
            <w:r>
              <w:rPr>
                <w:rFonts w:ascii="Times New Roman" w:hAnsi="Times New Roman"/>
                <w:sz w:val="19"/>
              </w:rPr>
              <w:t>CHEMBL964</w:t>
            </w:r>
          </w:p>
        </w:tc>
        <w:tc>
          <w:tcPr>
            <w:tcW w:type="dxa" w:w="3024"/>
          </w:tcPr>
          <w:p>
            <w:r>
              <w:rPr>
                <w:rFonts w:ascii="Times New Roman" w:hAnsi="Times New Roman"/>
                <w:sz w:val="19"/>
              </w:rPr>
              <w:t>3</w:t>
            </w:r>
          </w:p>
        </w:tc>
      </w:tr>
      <w:tr>
        <w:tc>
          <w:tcPr>
            <w:tcW w:type="dxa" w:w="3024"/>
          </w:tcPr>
          <w:p>
            <w:r>
              <w:rPr>
                <w:rFonts w:ascii="Times New Roman" w:hAnsi="Times New Roman"/>
                <w:sz w:val="19"/>
              </w:rPr>
              <w:t>tideglusib</w:t>
            </w:r>
          </w:p>
        </w:tc>
        <w:tc>
          <w:tcPr>
            <w:tcW w:type="dxa" w:w="3024"/>
          </w:tcPr>
          <w:p>
            <w:r>
              <w:rPr>
                <w:rFonts w:ascii="Times New Roman" w:hAnsi="Times New Roman"/>
                <w:sz w:val="19"/>
              </w:rPr>
              <w:t>CHEMBL3545157</w:t>
            </w:r>
          </w:p>
        </w:tc>
        <w:tc>
          <w:tcPr>
            <w:tcW w:type="dxa" w:w="3024"/>
          </w:tcPr>
          <w:p>
            <w:r>
              <w:rPr>
                <w:rFonts w:ascii="Times New Roman" w:hAnsi="Times New Roman"/>
                <w:sz w:val="19"/>
              </w:rPr>
              <w:t>3</w:t>
            </w:r>
          </w:p>
        </w:tc>
      </w:tr>
      <w:tr>
        <w:tc>
          <w:tcPr>
            <w:tcW w:type="dxa" w:w="3024"/>
          </w:tcPr>
          <w:p>
            <w:r>
              <w:rPr>
                <w:rFonts w:ascii="Times New Roman" w:hAnsi="Times New Roman"/>
                <w:sz w:val="19"/>
              </w:rPr>
              <w:t>masitinib</w:t>
            </w:r>
          </w:p>
        </w:tc>
        <w:tc>
          <w:tcPr>
            <w:tcW w:type="dxa" w:w="3024"/>
          </w:tcPr>
          <w:p>
            <w:r>
              <w:rPr>
                <w:rFonts w:ascii="Times New Roman" w:hAnsi="Times New Roman"/>
                <w:sz w:val="19"/>
              </w:rPr>
              <w:t>CHEMBL1908391</w:t>
            </w:r>
          </w:p>
        </w:tc>
        <w:tc>
          <w:tcPr>
            <w:tcW w:type="dxa" w:w="3024"/>
          </w:tcPr>
          <w:p>
            <w:r>
              <w:rPr>
                <w:rFonts w:ascii="Times New Roman" w:hAnsi="Times New Roman"/>
                <w:sz w:val="19"/>
              </w:rPr>
              <w:t>3</w:t>
            </w:r>
          </w:p>
        </w:tc>
      </w:tr>
      <w:tr>
        <w:tc>
          <w:tcPr>
            <w:tcW w:type="dxa" w:w="3024"/>
          </w:tcPr>
          <w:p>
            <w:r>
              <w:rPr>
                <w:rFonts w:ascii="Times New Roman" w:hAnsi="Times New Roman"/>
                <w:sz w:val="19"/>
              </w:rPr>
              <w:t>lopinavir</w:t>
            </w:r>
          </w:p>
        </w:tc>
        <w:tc>
          <w:tcPr>
            <w:tcW w:type="dxa" w:w="3024"/>
          </w:tcPr>
          <w:p>
            <w:r>
              <w:rPr>
                <w:rFonts w:ascii="Times New Roman" w:hAnsi="Times New Roman"/>
                <w:sz w:val="19"/>
              </w:rPr>
              <w:t>CHEMBL729</w:t>
            </w:r>
          </w:p>
        </w:tc>
        <w:tc>
          <w:tcPr>
            <w:tcW w:type="dxa" w:w="3024"/>
          </w:tcPr>
          <w:p>
            <w:r>
              <w:rPr>
                <w:rFonts w:ascii="Times New Roman" w:hAnsi="Times New Roman"/>
                <w:sz w:val="19"/>
              </w:rPr>
              <w:t>3</w:t>
            </w:r>
          </w:p>
        </w:tc>
      </w:tr>
      <w:tr>
        <w:tc>
          <w:tcPr>
            <w:tcW w:type="dxa" w:w="3024"/>
          </w:tcPr>
          <w:p>
            <w:r>
              <w:rPr>
                <w:rFonts w:ascii="Times New Roman" w:hAnsi="Times New Roman"/>
                <w:sz w:val="19"/>
              </w:rPr>
              <w:t>atazanavir</w:t>
            </w:r>
          </w:p>
        </w:tc>
        <w:tc>
          <w:tcPr>
            <w:tcW w:type="dxa" w:w="3024"/>
          </w:tcPr>
          <w:p>
            <w:r>
              <w:rPr>
                <w:rFonts w:ascii="Times New Roman" w:hAnsi="Times New Roman"/>
                <w:sz w:val="19"/>
              </w:rPr>
              <w:t>CHEMBL1200678</w:t>
            </w:r>
          </w:p>
        </w:tc>
        <w:tc>
          <w:tcPr>
            <w:tcW w:type="dxa" w:w="3024"/>
          </w:tcPr>
          <w:p>
            <w:r>
              <w:rPr>
                <w:rFonts w:ascii="Times New Roman" w:hAnsi="Times New Roman"/>
                <w:sz w:val="19"/>
              </w:rPr>
              <w:t>3</w:t>
            </w:r>
          </w:p>
        </w:tc>
      </w:tr>
      <w:tr>
        <w:tc>
          <w:tcPr>
            <w:tcW w:type="dxa" w:w="3024"/>
          </w:tcPr>
          <w:p>
            <w:r>
              <w:rPr>
                <w:rFonts w:ascii="Times New Roman" w:hAnsi="Times New Roman"/>
                <w:sz w:val="19"/>
              </w:rPr>
              <w:t>darunavir</w:t>
            </w:r>
          </w:p>
        </w:tc>
        <w:tc>
          <w:tcPr>
            <w:tcW w:type="dxa" w:w="3024"/>
          </w:tcPr>
          <w:p>
            <w:r>
              <w:rPr>
                <w:rFonts w:ascii="Times New Roman" w:hAnsi="Times New Roman"/>
                <w:sz w:val="19"/>
              </w:rPr>
              <w:t>CHEMBL1201127</w:t>
            </w:r>
          </w:p>
        </w:tc>
        <w:tc>
          <w:tcPr>
            <w:tcW w:type="dxa" w:w="3024"/>
          </w:tcPr>
          <w:p>
            <w:r>
              <w:rPr>
                <w:rFonts w:ascii="Times New Roman" w:hAnsi="Times New Roman"/>
                <w:sz w:val="19"/>
              </w:rPr>
              <w:t>3</w:t>
            </w:r>
          </w:p>
        </w:tc>
      </w:tr>
      <w:tr>
        <w:tc>
          <w:tcPr>
            <w:tcW w:type="dxa" w:w="3024"/>
          </w:tcPr>
          <w:p>
            <w:r>
              <w:rPr>
                <w:rFonts w:ascii="Times New Roman" w:hAnsi="Times New Roman"/>
                <w:sz w:val="19"/>
              </w:rPr>
              <w:t>saquinavir</w:t>
            </w:r>
          </w:p>
        </w:tc>
        <w:tc>
          <w:tcPr>
            <w:tcW w:type="dxa" w:w="3024"/>
          </w:tcPr>
          <w:p>
            <w:r>
              <w:rPr>
                <w:rFonts w:ascii="Times New Roman" w:hAnsi="Times New Roman"/>
                <w:sz w:val="19"/>
              </w:rPr>
              <w:t>CHEMBL4575419</w:t>
            </w:r>
          </w:p>
        </w:tc>
        <w:tc>
          <w:tcPr>
            <w:tcW w:type="dxa" w:w="3024"/>
          </w:tcPr>
          <w:p>
            <w:r>
              <w:rPr>
                <w:rFonts w:ascii="Times New Roman" w:hAnsi="Times New Roman"/>
                <w:sz w:val="19"/>
              </w:rPr>
              <w:t>3</w:t>
            </w:r>
          </w:p>
        </w:tc>
      </w:tr>
      <w:tr>
        <w:tc>
          <w:tcPr>
            <w:tcW w:type="dxa" w:w="3024"/>
          </w:tcPr>
          <w:p>
            <w:r>
              <w:rPr>
                <w:rFonts w:ascii="Times New Roman" w:hAnsi="Times New Roman"/>
                <w:sz w:val="19"/>
              </w:rPr>
              <w:t>indinavir</w:t>
            </w:r>
          </w:p>
        </w:tc>
        <w:tc>
          <w:tcPr>
            <w:tcW w:type="dxa" w:w="3024"/>
          </w:tcPr>
          <w:p>
            <w:r>
              <w:rPr>
                <w:rFonts w:ascii="Times New Roman" w:hAnsi="Times New Roman"/>
                <w:sz w:val="19"/>
              </w:rPr>
              <w:t>CHEMBL1735</w:t>
            </w:r>
          </w:p>
        </w:tc>
        <w:tc>
          <w:tcPr>
            <w:tcW w:type="dxa" w:w="3024"/>
          </w:tcPr>
          <w:p>
            <w:r>
              <w:rPr>
                <w:rFonts w:ascii="Times New Roman" w:hAnsi="Times New Roman"/>
                <w:sz w:val="19"/>
              </w:rPr>
              <w:t>3</w:t>
            </w:r>
          </w:p>
        </w:tc>
      </w:tr>
      <w:tr>
        <w:tc>
          <w:tcPr>
            <w:tcW w:type="dxa" w:w="3024"/>
          </w:tcPr>
          <w:p>
            <w:r>
              <w:rPr>
                <w:rFonts w:ascii="Times New Roman" w:hAnsi="Times New Roman"/>
                <w:sz w:val="19"/>
              </w:rPr>
              <w:t>nelfinavir</w:t>
            </w:r>
          </w:p>
        </w:tc>
        <w:tc>
          <w:tcPr>
            <w:tcW w:type="dxa" w:w="3024"/>
          </w:tcPr>
          <w:p>
            <w:r>
              <w:rPr>
                <w:rFonts w:ascii="Times New Roman" w:hAnsi="Times New Roman"/>
                <w:sz w:val="19"/>
              </w:rPr>
              <w:t>CHEMBL365442</w:t>
            </w:r>
          </w:p>
        </w:tc>
        <w:tc>
          <w:tcPr>
            <w:tcW w:type="dxa" w:w="3024"/>
          </w:tcPr>
          <w:p>
            <w:r>
              <w:rPr>
                <w:rFonts w:ascii="Times New Roman" w:hAnsi="Times New Roman"/>
                <w:sz w:val="19"/>
              </w:rPr>
              <w:t>3</w:t>
            </w:r>
          </w:p>
        </w:tc>
      </w:tr>
      <w:tr>
        <w:tc>
          <w:tcPr>
            <w:tcW w:type="dxa" w:w="3024"/>
          </w:tcPr>
          <w:p>
            <w:r>
              <w:rPr>
                <w:rFonts w:ascii="Times New Roman" w:hAnsi="Times New Roman"/>
                <w:sz w:val="19"/>
              </w:rPr>
              <w:t>chloroquine</w:t>
            </w:r>
          </w:p>
        </w:tc>
        <w:tc>
          <w:tcPr>
            <w:tcW w:type="dxa" w:w="3024"/>
          </w:tcPr>
          <w:p>
            <w:r>
              <w:rPr>
                <w:rFonts w:ascii="Times New Roman" w:hAnsi="Times New Roman"/>
                <w:sz w:val="19"/>
              </w:rPr>
              <w:t>CHEMBL76</w:t>
            </w:r>
          </w:p>
        </w:tc>
        <w:tc>
          <w:tcPr>
            <w:tcW w:type="dxa" w:w="3024"/>
          </w:tcPr>
          <w:p>
            <w:r>
              <w:rPr>
                <w:rFonts w:ascii="Times New Roman" w:hAnsi="Times New Roman"/>
                <w:sz w:val="19"/>
              </w:rPr>
              <w:t>3</w:t>
            </w:r>
          </w:p>
        </w:tc>
      </w:tr>
      <w:tr>
        <w:tc>
          <w:tcPr>
            <w:tcW w:type="dxa" w:w="3024"/>
          </w:tcPr>
          <w:p>
            <w:r>
              <w:rPr>
                <w:rFonts w:ascii="Times New Roman" w:hAnsi="Times New Roman"/>
                <w:sz w:val="19"/>
              </w:rPr>
              <w:t>hydroxychloroquine</w:t>
            </w:r>
          </w:p>
        </w:tc>
        <w:tc>
          <w:tcPr>
            <w:tcW w:type="dxa" w:w="3024"/>
          </w:tcPr>
          <w:p>
            <w:r>
              <w:rPr>
                <w:rFonts w:ascii="Times New Roman" w:hAnsi="Times New Roman"/>
                <w:sz w:val="19"/>
              </w:rPr>
              <w:t>CHEMBL1535</w:t>
            </w:r>
          </w:p>
        </w:tc>
        <w:tc>
          <w:tcPr>
            <w:tcW w:type="dxa" w:w="3024"/>
          </w:tcPr>
          <w:p>
            <w:r>
              <w:rPr>
                <w:rFonts w:ascii="Times New Roman" w:hAnsi="Times New Roman"/>
                <w:sz w:val="19"/>
              </w:rPr>
              <w:t>3</w:t>
            </w:r>
          </w:p>
        </w:tc>
      </w:tr>
      <w:tr>
        <w:tc>
          <w:tcPr>
            <w:tcW w:type="dxa" w:w="3024"/>
          </w:tcPr>
          <w:p>
            <w:r>
              <w:rPr>
                <w:rFonts w:ascii="Times New Roman" w:hAnsi="Times New Roman"/>
                <w:sz w:val="19"/>
              </w:rPr>
              <w:t>ritonavir</w:t>
            </w:r>
          </w:p>
        </w:tc>
        <w:tc>
          <w:tcPr>
            <w:tcW w:type="dxa" w:w="3024"/>
          </w:tcPr>
          <w:p>
            <w:r>
              <w:rPr>
                <w:rFonts w:ascii="Times New Roman" w:hAnsi="Times New Roman"/>
                <w:sz w:val="19"/>
              </w:rPr>
              <w:t>CHEMBL3114713</w:t>
            </w:r>
          </w:p>
        </w:tc>
        <w:tc>
          <w:tcPr>
            <w:tcW w:type="dxa" w:w="3024"/>
          </w:tcPr>
          <w:p>
            <w:r>
              <w:rPr>
                <w:rFonts w:ascii="Times New Roman" w:hAnsi="Times New Roman"/>
                <w:sz w:val="19"/>
              </w:rPr>
              <w:t>3</w:t>
            </w:r>
          </w:p>
        </w:tc>
      </w:tr>
      <w:tr>
        <w:tc>
          <w:tcPr>
            <w:tcW w:type="dxa" w:w="3024"/>
          </w:tcPr>
          <w:p>
            <w:r>
              <w:rPr>
                <w:rFonts w:ascii="Times New Roman" w:hAnsi="Times New Roman"/>
                <w:sz w:val="19"/>
              </w:rPr>
              <w:t>remdesivir</w:t>
            </w:r>
          </w:p>
        </w:tc>
        <w:tc>
          <w:tcPr>
            <w:tcW w:type="dxa" w:w="3024"/>
          </w:tcPr>
          <w:p>
            <w:r>
              <w:rPr>
                <w:rFonts w:ascii="Times New Roman" w:hAnsi="Times New Roman"/>
                <w:sz w:val="19"/>
              </w:rPr>
              <w:t>CHEMBL5280654</w:t>
            </w:r>
          </w:p>
        </w:tc>
        <w:tc>
          <w:tcPr>
            <w:tcW w:type="dxa" w:w="3024"/>
          </w:tcPr>
          <w:p>
            <w:r>
              <w:rPr>
                <w:rFonts w:ascii="Times New Roman" w:hAnsi="Times New Roman"/>
                <w:sz w:val="19"/>
              </w:rPr>
              <w:t>3</w:t>
            </w:r>
          </w:p>
        </w:tc>
      </w:tr>
      <w:tr>
        <w:tc>
          <w:tcPr>
            <w:tcW w:type="dxa" w:w="3024"/>
          </w:tcPr>
          <w:p>
            <w:r>
              <w:rPr>
                <w:rFonts w:ascii="Times New Roman" w:hAnsi="Times New Roman"/>
                <w:sz w:val="19"/>
              </w:rPr>
              <w:t>molnupiravir</w:t>
            </w:r>
          </w:p>
        </w:tc>
        <w:tc>
          <w:tcPr>
            <w:tcW w:type="dxa" w:w="3024"/>
          </w:tcPr>
          <w:p>
            <w:r>
              <w:rPr>
                <w:rFonts w:ascii="Times New Roman" w:hAnsi="Times New Roman"/>
                <w:sz w:val="19"/>
              </w:rPr>
              <w:t>CHEMBL4650320</w:t>
            </w:r>
          </w:p>
        </w:tc>
        <w:tc>
          <w:tcPr>
            <w:tcW w:type="dxa" w:w="3024"/>
          </w:tcPr>
          <w:p>
            <w:r>
              <w:rPr>
                <w:rFonts w:ascii="Times New Roman" w:hAnsi="Times New Roman"/>
                <w:sz w:val="19"/>
              </w:rPr>
              <w:t>3</w:t>
            </w:r>
          </w:p>
        </w:tc>
      </w:tr>
      <w:tr>
        <w:tc>
          <w:tcPr>
            <w:tcW w:type="dxa" w:w="3024"/>
          </w:tcPr>
          <w:p>
            <w:r>
              <w:rPr>
                <w:rFonts w:ascii="Times New Roman" w:hAnsi="Times New Roman"/>
                <w:sz w:val="19"/>
              </w:rPr>
              <w:t>favipiravir</w:t>
            </w:r>
          </w:p>
        </w:tc>
        <w:tc>
          <w:tcPr>
            <w:tcW w:type="dxa" w:w="3024"/>
          </w:tcPr>
          <w:p>
            <w:r>
              <w:rPr>
                <w:rFonts w:ascii="Times New Roman" w:hAnsi="Times New Roman"/>
                <w:sz w:val="19"/>
              </w:rPr>
              <w:t>CHEMBL221722</w:t>
            </w:r>
          </w:p>
        </w:tc>
        <w:tc>
          <w:tcPr>
            <w:tcW w:type="dxa" w:w="3024"/>
          </w:tcPr>
          <w:p>
            <w:r>
              <w:rPr>
                <w:rFonts w:ascii="Times New Roman" w:hAnsi="Times New Roman"/>
                <w:sz w:val="19"/>
              </w:rPr>
              <w:t>3</w:t>
            </w:r>
          </w:p>
        </w:tc>
      </w:tr>
      <w:tr>
        <w:tc>
          <w:tcPr>
            <w:tcW w:type="dxa" w:w="3024"/>
          </w:tcPr>
          <w:p>
            <w:r>
              <w:rPr>
                <w:rFonts w:ascii="Times New Roman" w:hAnsi="Times New Roman"/>
                <w:sz w:val="19"/>
              </w:rPr>
              <w:t>camostat</w:t>
            </w:r>
          </w:p>
        </w:tc>
        <w:tc>
          <w:tcPr>
            <w:tcW w:type="dxa" w:w="3024"/>
          </w:tcPr>
          <w:p>
            <w:r>
              <w:rPr>
                <w:rFonts w:ascii="Times New Roman" w:hAnsi="Times New Roman"/>
                <w:sz w:val="19"/>
              </w:rPr>
              <w:t>CHEMBL590799</w:t>
            </w:r>
          </w:p>
        </w:tc>
        <w:tc>
          <w:tcPr>
            <w:tcW w:type="dxa" w:w="3024"/>
          </w:tcPr>
          <w:p>
            <w:r>
              <w:rPr>
                <w:rFonts w:ascii="Times New Roman" w:hAnsi="Times New Roman"/>
                <w:sz w:val="19"/>
              </w:rPr>
              <w:t>3</w:t>
            </w:r>
          </w:p>
        </w:tc>
      </w:tr>
      <w:tr>
        <w:tc>
          <w:tcPr>
            <w:tcW w:type="dxa" w:w="3024"/>
          </w:tcPr>
          <w:p>
            <w:r>
              <w:rPr>
                <w:rFonts w:ascii="Times New Roman" w:hAnsi="Times New Roman"/>
                <w:sz w:val="19"/>
              </w:rPr>
              <w:t>nafamostat</w:t>
            </w:r>
          </w:p>
        </w:tc>
        <w:tc>
          <w:tcPr>
            <w:tcW w:type="dxa" w:w="3024"/>
          </w:tcPr>
          <w:p>
            <w:r>
              <w:rPr>
                <w:rFonts w:ascii="Times New Roman" w:hAnsi="Times New Roman"/>
                <w:sz w:val="19"/>
              </w:rPr>
              <w:t>CHEMBL3989553</w:t>
            </w:r>
          </w:p>
        </w:tc>
        <w:tc>
          <w:tcPr>
            <w:tcW w:type="dxa" w:w="3024"/>
          </w:tcPr>
          <w:p>
            <w:r>
              <w:rPr>
                <w:rFonts w:ascii="Times New Roman" w:hAnsi="Times New Roman"/>
                <w:sz w:val="19"/>
              </w:rPr>
              <w:t>3</w:t>
            </w:r>
          </w:p>
        </w:tc>
      </w:tr>
      <w:tr>
        <w:tc>
          <w:tcPr>
            <w:tcW w:type="dxa" w:w="3024"/>
          </w:tcPr>
          <w:p>
            <w:r>
              <w:rPr>
                <w:rFonts w:ascii="Times New Roman" w:hAnsi="Times New Roman"/>
                <w:sz w:val="19"/>
              </w:rPr>
              <w:t>nilotinib</w:t>
            </w:r>
          </w:p>
        </w:tc>
        <w:tc>
          <w:tcPr>
            <w:tcW w:type="dxa" w:w="3024"/>
          </w:tcPr>
          <w:p>
            <w:r>
              <w:rPr>
                <w:rFonts w:ascii="Times New Roman" w:hAnsi="Times New Roman"/>
                <w:sz w:val="19"/>
              </w:rPr>
              <w:t>CHEMBL255863</w:t>
            </w:r>
          </w:p>
        </w:tc>
        <w:tc>
          <w:tcPr>
            <w:tcW w:type="dxa" w:w="3024"/>
          </w:tcPr>
          <w:p>
            <w:r>
              <w:rPr>
                <w:rFonts w:ascii="Times New Roman" w:hAnsi="Times New Roman"/>
                <w:sz w:val="19"/>
              </w:rPr>
              <w:t>3</w:t>
            </w:r>
          </w:p>
        </w:tc>
      </w:tr>
    </w:tbl>
    <w:p>
      <w:r>
        <w:rPr>
          <w:rFonts w:ascii="Times New Roman" w:hAnsi="Times New Roman"/>
          <w:b w:val="0"/>
          <w:i/>
        </w:rPr>
        <w:t>Table 8. ClinicalTrials.gov COVID-19 study counts for repurposed candidates.</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compound</w:t>
            </w:r>
          </w:p>
        </w:tc>
        <w:tc>
          <w:tcPr>
            <w:tcW w:type="dxa" w:w="4536"/>
            <w:shd w:val="clear" w:fill="DCE6F1"/>
          </w:tcPr>
          <w:p>
            <w:r>
              <w:rPr>
                <w:rFonts w:ascii="Times New Roman" w:hAnsi="Times New Roman"/>
                <w:b/>
                <w:sz w:val="19"/>
              </w:rPr>
              <w:t>COVID-19 studies</w:t>
            </w:r>
          </w:p>
        </w:tc>
      </w:tr>
      <w:tr>
        <w:tc>
          <w:tcPr>
            <w:tcW w:type="dxa" w:w="4536"/>
          </w:tcPr>
          <w:p>
            <w:r>
              <w:rPr>
                <w:rFonts w:ascii="Times New Roman" w:hAnsi="Times New Roman"/>
                <w:sz w:val="19"/>
              </w:rPr>
              <w:t>remdesivir</w:t>
            </w:r>
          </w:p>
        </w:tc>
        <w:tc>
          <w:tcPr>
            <w:tcW w:type="dxa" w:w="4536"/>
          </w:tcPr>
          <w:p>
            <w:r>
              <w:rPr>
                <w:rFonts w:ascii="Times New Roman" w:hAnsi="Times New Roman"/>
                <w:sz w:val="19"/>
              </w:rPr>
              <w:t>117</w:t>
            </w:r>
          </w:p>
        </w:tc>
      </w:tr>
      <w:tr>
        <w:tc>
          <w:tcPr>
            <w:tcW w:type="dxa" w:w="4536"/>
          </w:tcPr>
          <w:p>
            <w:r>
              <w:rPr>
                <w:rFonts w:ascii="Times New Roman" w:hAnsi="Times New Roman"/>
                <w:sz w:val="19"/>
              </w:rPr>
              <w:t>molnupiravir</w:t>
            </w:r>
          </w:p>
        </w:tc>
        <w:tc>
          <w:tcPr>
            <w:tcW w:type="dxa" w:w="4536"/>
          </w:tcPr>
          <w:p>
            <w:r>
              <w:rPr>
                <w:rFonts w:ascii="Times New Roman" w:hAnsi="Times New Roman"/>
                <w:sz w:val="19"/>
              </w:rPr>
              <w:t>19</w:t>
            </w:r>
          </w:p>
        </w:tc>
      </w:tr>
      <w:tr>
        <w:tc>
          <w:tcPr>
            <w:tcW w:type="dxa" w:w="4536"/>
          </w:tcPr>
          <w:p>
            <w:r>
              <w:rPr>
                <w:rFonts w:ascii="Times New Roman" w:hAnsi="Times New Roman"/>
                <w:sz w:val="19"/>
              </w:rPr>
              <w:t>lopinavir</w:t>
            </w:r>
          </w:p>
        </w:tc>
        <w:tc>
          <w:tcPr>
            <w:tcW w:type="dxa" w:w="4536"/>
          </w:tcPr>
          <w:p>
            <w:r>
              <w:rPr>
                <w:rFonts w:ascii="Times New Roman" w:hAnsi="Times New Roman"/>
                <w:sz w:val="19"/>
              </w:rPr>
              <w:t>76</w:t>
            </w:r>
          </w:p>
        </w:tc>
      </w:tr>
      <w:tr>
        <w:tc>
          <w:tcPr>
            <w:tcW w:type="dxa" w:w="4536"/>
          </w:tcPr>
          <w:p>
            <w:r>
              <w:rPr>
                <w:rFonts w:ascii="Times New Roman" w:hAnsi="Times New Roman"/>
                <w:sz w:val="19"/>
              </w:rPr>
              <w:t>hydroxychloroquine</w:t>
            </w:r>
          </w:p>
        </w:tc>
        <w:tc>
          <w:tcPr>
            <w:tcW w:type="dxa" w:w="4536"/>
          </w:tcPr>
          <w:p>
            <w:r>
              <w:rPr>
                <w:rFonts w:ascii="Times New Roman" w:hAnsi="Times New Roman"/>
                <w:sz w:val="19"/>
              </w:rPr>
              <w:t>235</w:t>
            </w:r>
          </w:p>
        </w:tc>
      </w:tr>
      <w:tr>
        <w:tc>
          <w:tcPr>
            <w:tcW w:type="dxa" w:w="4536"/>
          </w:tcPr>
          <w:p>
            <w:r>
              <w:rPr>
                <w:rFonts w:ascii="Times New Roman" w:hAnsi="Times New Roman"/>
                <w:sz w:val="19"/>
              </w:rPr>
              <w:t>nirmatrelvir</w:t>
            </w:r>
          </w:p>
        </w:tc>
        <w:tc>
          <w:tcPr>
            <w:tcW w:type="dxa" w:w="4536"/>
          </w:tcPr>
          <w:p>
            <w:r>
              <w:rPr>
                <w:rFonts w:ascii="Times New Roman" w:hAnsi="Times New Roman"/>
                <w:sz w:val="19"/>
              </w:rPr>
              <w:t>78</w:t>
            </w:r>
          </w:p>
        </w:tc>
      </w:tr>
    </w:tbl>
    <w:p>
      <w:r>
        <w:rPr>
          <w:rFonts w:ascii="Times New Roman" w:hAnsi="Times New Roman"/>
          <w:b w:val="0"/>
          <w:i/>
        </w:rPr>
        <w:t>Table 9. CrossRef DOI verification of anchor references.</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reference key</w:t>
            </w:r>
          </w:p>
        </w:tc>
        <w:tc>
          <w:tcPr>
            <w:tcW w:type="dxa" w:w="3024"/>
            <w:shd w:val="clear" w:fill="DCE6F1"/>
          </w:tcPr>
          <w:p>
            <w:r>
              <w:rPr>
                <w:rFonts w:ascii="Times New Roman" w:hAnsi="Times New Roman"/>
                <w:b/>
                <w:sz w:val="19"/>
              </w:rPr>
              <w:t>verified title (truncated)</w:t>
            </w:r>
          </w:p>
        </w:tc>
        <w:tc>
          <w:tcPr>
            <w:tcW w:type="dxa" w:w="3024"/>
            <w:shd w:val="clear" w:fill="DCE6F1"/>
          </w:tcPr>
          <w:p>
            <w:r>
              <w:rPr>
                <w:rFonts w:ascii="Times New Roman" w:hAnsi="Times New Roman"/>
                <w:b/>
                <w:sz w:val="19"/>
              </w:rPr>
              <w:t>year</w:t>
            </w:r>
          </w:p>
        </w:tc>
      </w:tr>
      <w:tr>
        <w:tc>
          <w:tcPr>
            <w:tcW w:type="dxa" w:w="3024"/>
          </w:tcPr>
          <w:p>
            <w:r>
              <w:rPr>
                <w:rFonts w:ascii="Times New Roman" w:hAnsi="Times New Roman"/>
                <w:sz w:val="19"/>
              </w:rPr>
              <w:t>jin2020</w:t>
            </w:r>
          </w:p>
        </w:tc>
        <w:tc>
          <w:tcPr>
            <w:tcW w:type="dxa" w:w="3024"/>
          </w:tcPr>
          <w:p>
            <w:r>
              <w:rPr>
                <w:rFonts w:ascii="Times New Roman" w:hAnsi="Times New Roman"/>
                <w:sz w:val="19"/>
              </w:rPr>
              <w:t>Structure of Mpro from SARS-CoV-2 and discovery of its inhib</w:t>
            </w:r>
          </w:p>
        </w:tc>
        <w:tc>
          <w:tcPr>
            <w:tcW w:type="dxa" w:w="3024"/>
          </w:tcPr>
          <w:p>
            <w:r>
              <w:rPr>
                <w:rFonts w:ascii="Times New Roman" w:hAnsi="Times New Roman"/>
                <w:sz w:val="19"/>
              </w:rPr>
              <w:t>2020</w:t>
            </w:r>
          </w:p>
        </w:tc>
      </w:tr>
      <w:tr>
        <w:tc>
          <w:tcPr>
            <w:tcW w:type="dxa" w:w="3024"/>
          </w:tcPr>
          <w:p>
            <w:r>
              <w:rPr>
                <w:rFonts w:ascii="Times New Roman" w:hAnsi="Times New Roman"/>
                <w:sz w:val="19"/>
              </w:rPr>
              <w:t>trott2010</w:t>
            </w:r>
          </w:p>
        </w:tc>
        <w:tc>
          <w:tcPr>
            <w:tcW w:type="dxa" w:w="3024"/>
          </w:tcPr>
          <w:p>
            <w:r>
              <w:rPr>
                <w:rFonts w:ascii="Times New Roman" w:hAnsi="Times New Roman"/>
                <w:sz w:val="19"/>
              </w:rPr>
              <w:t>AutoDock Vina: Improving the speed and accuracy of docking w</w:t>
            </w:r>
          </w:p>
        </w:tc>
        <w:tc>
          <w:tcPr>
            <w:tcW w:type="dxa" w:w="3024"/>
          </w:tcPr>
          <w:p>
            <w:r>
              <w:rPr>
                <w:rFonts w:ascii="Times New Roman" w:hAnsi="Times New Roman"/>
                <w:sz w:val="19"/>
              </w:rPr>
              <w:t>2009</w:t>
            </w:r>
          </w:p>
        </w:tc>
      </w:tr>
      <w:tr>
        <w:tc>
          <w:tcPr>
            <w:tcW w:type="dxa" w:w="3024"/>
          </w:tcPr>
          <w:p>
            <w:r>
              <w:rPr>
                <w:rFonts w:ascii="Times New Roman" w:hAnsi="Times New Roman"/>
                <w:sz w:val="19"/>
              </w:rPr>
              <w:t>eberhardt2021</w:t>
            </w:r>
          </w:p>
        </w:tc>
        <w:tc>
          <w:tcPr>
            <w:tcW w:type="dxa" w:w="3024"/>
          </w:tcPr>
          <w:p>
            <w:r>
              <w:rPr>
                <w:rFonts w:ascii="Times New Roman" w:hAnsi="Times New Roman"/>
                <w:sz w:val="19"/>
              </w:rPr>
              <w:t>AutoDock Vina 1.2.0: New Docking Methods, Expanded Force Fie</w:t>
            </w:r>
          </w:p>
        </w:tc>
        <w:tc>
          <w:tcPr>
            <w:tcW w:type="dxa" w:w="3024"/>
          </w:tcPr>
          <w:p>
            <w:r>
              <w:rPr>
                <w:rFonts w:ascii="Times New Roman" w:hAnsi="Times New Roman"/>
                <w:sz w:val="19"/>
              </w:rPr>
              <w:t>2021</w:t>
            </w:r>
          </w:p>
        </w:tc>
      </w:tr>
      <w:tr>
        <w:tc>
          <w:tcPr>
            <w:tcW w:type="dxa" w:w="3024"/>
          </w:tcPr>
          <w:p>
            <w:r>
              <w:rPr>
                <w:rFonts w:ascii="Times New Roman" w:hAnsi="Times New Roman"/>
                <w:sz w:val="19"/>
              </w:rPr>
              <w:t>owen2021</w:t>
            </w:r>
          </w:p>
        </w:tc>
        <w:tc>
          <w:tcPr>
            <w:tcW w:type="dxa" w:w="3024"/>
          </w:tcPr>
          <w:p>
            <w:r>
              <w:rPr>
                <w:rFonts w:ascii="Times New Roman" w:hAnsi="Times New Roman"/>
                <w:sz w:val="19"/>
              </w:rPr>
              <w:t>An oral SARS-CoV-2 M</w:t>
              <w:br/>
              <w:t xml:space="preserve">                    &lt;sup&gt;pro&lt;/sup&gt;</w:t>
              <w:br/>
              <w:t xml:space="preserve">    </w:t>
            </w:r>
          </w:p>
        </w:tc>
        <w:tc>
          <w:tcPr>
            <w:tcW w:type="dxa" w:w="3024"/>
          </w:tcPr>
          <w:p>
            <w:r>
              <w:rPr>
                <w:rFonts w:ascii="Times New Roman" w:hAnsi="Times New Roman"/>
                <w:sz w:val="19"/>
              </w:rPr>
              <w:t>2021</w:t>
            </w:r>
          </w:p>
        </w:tc>
      </w:tr>
      <w:tr>
        <w:tc>
          <w:tcPr>
            <w:tcW w:type="dxa" w:w="3024"/>
          </w:tcPr>
          <w:p>
            <w:r>
              <w:rPr>
                <w:rFonts w:ascii="Times New Roman" w:hAnsi="Times New Roman"/>
                <w:sz w:val="19"/>
              </w:rPr>
              <w:t>douangamath2020</w:t>
            </w:r>
          </w:p>
        </w:tc>
        <w:tc>
          <w:tcPr>
            <w:tcW w:type="dxa" w:w="3024"/>
          </w:tcPr>
          <w:p>
            <w:r>
              <w:rPr>
                <w:rFonts w:ascii="Times New Roman" w:hAnsi="Times New Roman"/>
                <w:sz w:val="19"/>
              </w:rPr>
              <w:t>Crystal structure of SARS-CoV-2 main protease provides a bas</w:t>
            </w:r>
          </w:p>
        </w:tc>
        <w:tc>
          <w:tcPr>
            <w:tcW w:type="dxa" w:w="3024"/>
          </w:tcPr>
          <w:p>
            <w:r>
              <w:rPr>
                <w:rFonts w:ascii="Times New Roman" w:hAnsi="Times New Roman"/>
                <w:sz w:val="19"/>
              </w:rPr>
              <w:t>2020</w:t>
            </w:r>
          </w:p>
        </w:tc>
      </w:tr>
      <w:tr>
        <w:tc>
          <w:tcPr>
            <w:tcW w:type="dxa" w:w="3024"/>
          </w:tcPr>
          <w:p>
            <w:r>
              <w:rPr>
                <w:rFonts w:ascii="Times New Roman" w:hAnsi="Times New Roman"/>
                <w:sz w:val="19"/>
              </w:rPr>
              <w:t>drayman2021</w:t>
            </w:r>
          </w:p>
        </w:tc>
        <w:tc>
          <w:tcPr>
            <w:tcW w:type="dxa" w:w="3024"/>
          </w:tcPr>
          <w:p>
            <w:r>
              <w:rPr>
                <w:rFonts w:ascii="Times New Roman" w:hAnsi="Times New Roman"/>
                <w:sz w:val="19"/>
              </w:rPr>
            </w:r>
          </w:p>
        </w:tc>
        <w:tc>
          <w:tcPr>
            <w:tcW w:type="dxa" w:w="3024"/>
          </w:tcPr>
          <w:p>
            <w:r>
              <w:rPr>
                <w:rFonts w:ascii="Times New Roman" w:hAnsi="Times New Roman"/>
                <w:sz w:val="19"/>
              </w:rPr>
            </w:r>
          </w:p>
        </w:tc>
      </w:tr>
      <w:tr>
        <w:tc>
          <w:tcPr>
            <w:tcW w:type="dxa" w:w="3024"/>
          </w:tcPr>
          <w:p>
            <w:r>
              <w:rPr>
                <w:rFonts w:ascii="Times New Roman" w:hAnsi="Times New Roman"/>
                <w:sz w:val="19"/>
              </w:rPr>
              <w:t>forli2016</w:t>
            </w:r>
          </w:p>
        </w:tc>
        <w:tc>
          <w:tcPr>
            <w:tcW w:type="dxa" w:w="3024"/>
          </w:tcPr>
          <w:p>
            <w:r>
              <w:rPr>
                <w:rFonts w:ascii="Times New Roman" w:hAnsi="Times New Roman"/>
                <w:sz w:val="19"/>
              </w:rPr>
              <w:t>Computational protein–ligand docking and virtual drug screen</w:t>
            </w:r>
          </w:p>
        </w:tc>
        <w:tc>
          <w:tcPr>
            <w:tcW w:type="dxa" w:w="3024"/>
          </w:tcPr>
          <w:p>
            <w:r>
              <w:rPr>
                <w:rFonts w:ascii="Times New Roman" w:hAnsi="Times New Roman"/>
                <w:sz w:val="19"/>
              </w:rPr>
              <w:t>2016</w:t>
            </w:r>
          </w:p>
        </w:tc>
      </w:tr>
      <w:tr>
        <w:tc>
          <w:tcPr>
            <w:tcW w:type="dxa" w:w="3024"/>
          </w:tcPr>
          <w:p>
            <w:r>
              <w:rPr>
                <w:rFonts w:ascii="Times New Roman" w:hAnsi="Times New Roman"/>
                <w:sz w:val="19"/>
              </w:rPr>
              <w:t>gilmer2017</w:t>
            </w:r>
          </w:p>
        </w:tc>
        <w:tc>
          <w:tcPr>
            <w:tcW w:type="dxa" w:w="3024"/>
          </w:tcPr>
          <w:p>
            <w:r>
              <w:rPr>
                <w:rFonts w:ascii="Times New Roman" w:hAnsi="Times New Roman"/>
                <w:sz w:val="19"/>
              </w:rPr>
              <w:t>no DOI (conference paper)</w:t>
            </w:r>
          </w:p>
        </w:tc>
        <w:tc>
          <w:tcPr>
            <w:tcW w:type="dxa" w:w="3024"/>
          </w:tcPr>
          <w:p>
            <w:r>
              <w:rPr>
                <w:rFonts w:ascii="Times New Roman" w:hAnsi="Times New Roman"/>
                <w:sz w:val="19"/>
              </w:rPr>
            </w:r>
          </w:p>
        </w:tc>
      </w:tr>
    </w:tbl>
    <w:p>
      <w:r>
        <w:br w:type="page"/>
      </w:r>
    </w:p>
    <w:p>
      <w:pPr>
        <w:pStyle w:val="Heading1"/>
        <w:pBdr>
          <w:bottom w:val="single" w:sz="12" w:space="4" w:color="1F4E9C"/>
        </w:pBdr>
      </w:pPr>
      <w:r>
        <w:rPr>
          <w:rFonts w:ascii="Times New Roman" w:hAnsi="Times New Roman"/>
          <w:color w:val="1F4E9C"/>
        </w:rPr>
        <w:t>Appendix J. External Tools Registry (40)</w:t>
      </w:r>
    </w:p>
    <w:p>
      <w:r>
        <w:rPr>
          <w:rFonts w:ascii="Times New Roman" w:hAnsi="Times New Roman"/>
          <w:b w:val="0"/>
          <w:i w:val="0"/>
        </w:rPr>
        <w:t>Every external tool, database, package and web resource used in this project, with what it was used for. Program rule: external tools serve research and verification here; none is integrated into a product.</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w:t>
            </w:r>
          </w:p>
        </w:tc>
        <w:tc>
          <w:tcPr>
            <w:tcW w:type="dxa" w:w="3024"/>
            <w:shd w:val="clear" w:fill="DCE6F1"/>
          </w:tcPr>
          <w:p>
            <w:r>
              <w:rPr>
                <w:rFonts w:ascii="Times New Roman" w:hAnsi="Times New Roman"/>
                <w:b/>
                <w:sz w:val="19"/>
              </w:rPr>
              <w:t>tool / resource</w:t>
            </w:r>
          </w:p>
        </w:tc>
        <w:tc>
          <w:tcPr>
            <w:tcW w:type="dxa" w:w="3024"/>
            <w:shd w:val="clear" w:fill="DCE6F1"/>
          </w:tcPr>
          <w:p>
            <w:r>
              <w:rPr>
                <w:rFonts w:ascii="Times New Roman" w:hAnsi="Times New Roman"/>
                <w:b/>
                <w:sz w:val="19"/>
              </w:rPr>
              <w:t>used for</w:t>
            </w:r>
          </w:p>
        </w:tc>
      </w:tr>
      <w:tr>
        <w:tc>
          <w:tcPr>
            <w:tcW w:type="dxa" w:w="3024"/>
          </w:tcPr>
          <w:p>
            <w:r>
              <w:rPr>
                <w:rFonts w:ascii="Times New Roman" w:hAnsi="Times New Roman"/>
                <w:sz w:val="19"/>
              </w:rPr>
              <w:t>1</w:t>
            </w:r>
          </w:p>
        </w:tc>
        <w:tc>
          <w:tcPr>
            <w:tcW w:type="dxa" w:w="3024"/>
          </w:tcPr>
          <w:p>
            <w:r>
              <w:rPr>
                <w:rFonts w:ascii="Times New Roman" w:hAnsi="Times New Roman"/>
                <w:sz w:val="19"/>
              </w:rPr>
              <w:t>AutoDock Vina 1.2.7</w:t>
            </w:r>
          </w:p>
        </w:tc>
        <w:tc>
          <w:tcPr>
            <w:tcW w:type="dxa" w:w="3024"/>
          </w:tcPr>
          <w:p>
            <w:r>
              <w:rPr>
                <w:rFonts w:ascii="Times New Roman" w:hAnsi="Times New Roman"/>
                <w:sz w:val="19"/>
              </w:rPr>
              <w:t>docking engine (redock, screen, denovo)</w:t>
            </w:r>
          </w:p>
        </w:tc>
      </w:tr>
      <w:tr>
        <w:tc>
          <w:tcPr>
            <w:tcW w:type="dxa" w:w="3024"/>
          </w:tcPr>
          <w:p>
            <w:r>
              <w:rPr>
                <w:rFonts w:ascii="Times New Roman" w:hAnsi="Times New Roman"/>
                <w:sz w:val="19"/>
              </w:rPr>
              <w:t>2</w:t>
            </w:r>
          </w:p>
        </w:tc>
        <w:tc>
          <w:tcPr>
            <w:tcW w:type="dxa" w:w="3024"/>
          </w:tcPr>
          <w:p>
            <w:r>
              <w:rPr>
                <w:rFonts w:ascii="Times New Roman" w:hAnsi="Times New Roman"/>
                <w:sz w:val="19"/>
              </w:rPr>
              <w:t>RDKit</w:t>
            </w:r>
          </w:p>
        </w:tc>
        <w:tc>
          <w:tcPr>
            <w:tcW w:type="dxa" w:w="3024"/>
          </w:tcPr>
          <w:p>
            <w:r>
              <w:rPr>
                <w:rFonts w:ascii="Times New Roman" w:hAnsi="Times New Roman"/>
                <w:sz w:val="19"/>
              </w:rPr>
              <w:t>conformer embedding, descriptors, fingerprints</w:t>
            </w:r>
          </w:p>
        </w:tc>
      </w:tr>
      <w:tr>
        <w:tc>
          <w:tcPr>
            <w:tcW w:type="dxa" w:w="3024"/>
          </w:tcPr>
          <w:p>
            <w:r>
              <w:rPr>
                <w:rFonts w:ascii="Times New Roman" w:hAnsi="Times New Roman"/>
                <w:sz w:val="19"/>
              </w:rPr>
              <w:t>3</w:t>
            </w:r>
          </w:p>
        </w:tc>
        <w:tc>
          <w:tcPr>
            <w:tcW w:type="dxa" w:w="3024"/>
          </w:tcPr>
          <w:p>
            <w:r>
              <w:rPr>
                <w:rFonts w:ascii="Times New Roman" w:hAnsi="Times New Roman"/>
                <w:sz w:val="19"/>
              </w:rPr>
              <w:t>ETKDGv3 (RDKit)</w:t>
            </w:r>
          </w:p>
        </w:tc>
        <w:tc>
          <w:tcPr>
            <w:tcW w:type="dxa" w:w="3024"/>
          </w:tcPr>
          <w:p>
            <w:r>
              <w:rPr>
                <w:rFonts w:ascii="Times New Roman" w:hAnsi="Times New Roman"/>
                <w:sz w:val="19"/>
              </w:rPr>
              <w:t>distance-geometry conformer generation</w:t>
            </w:r>
          </w:p>
        </w:tc>
      </w:tr>
      <w:tr>
        <w:tc>
          <w:tcPr>
            <w:tcW w:type="dxa" w:w="3024"/>
          </w:tcPr>
          <w:p>
            <w:r>
              <w:rPr>
                <w:rFonts w:ascii="Times New Roman" w:hAnsi="Times New Roman"/>
                <w:sz w:val="19"/>
              </w:rPr>
              <w:t>4</w:t>
            </w:r>
          </w:p>
        </w:tc>
        <w:tc>
          <w:tcPr>
            <w:tcW w:type="dxa" w:w="3024"/>
          </w:tcPr>
          <w:p>
            <w:r>
              <w:rPr>
                <w:rFonts w:ascii="Times New Roman" w:hAnsi="Times New Roman"/>
                <w:sz w:val="19"/>
              </w:rPr>
              <w:t>MMFF94 (RDKit)</w:t>
            </w:r>
          </w:p>
        </w:tc>
        <w:tc>
          <w:tcPr>
            <w:tcW w:type="dxa" w:w="3024"/>
          </w:tcPr>
          <w:p>
            <w:r>
              <w:rPr>
                <w:rFonts w:ascii="Times New Roman" w:hAnsi="Times New Roman"/>
                <w:sz w:val="19"/>
              </w:rPr>
              <w:t>ligand force-field optimization</w:t>
            </w:r>
          </w:p>
        </w:tc>
      </w:tr>
      <w:tr>
        <w:tc>
          <w:tcPr>
            <w:tcW w:type="dxa" w:w="3024"/>
          </w:tcPr>
          <w:p>
            <w:r>
              <w:rPr>
                <w:rFonts w:ascii="Times New Roman" w:hAnsi="Times New Roman"/>
                <w:sz w:val="19"/>
              </w:rPr>
              <w:t>5</w:t>
            </w:r>
          </w:p>
        </w:tc>
        <w:tc>
          <w:tcPr>
            <w:tcW w:type="dxa" w:w="3024"/>
          </w:tcPr>
          <w:p>
            <w:r>
              <w:rPr>
                <w:rFonts w:ascii="Times New Roman" w:hAnsi="Times New Roman"/>
                <w:sz w:val="19"/>
              </w:rPr>
              <w:t>Morgan fingerprints (RDKit)</w:t>
            </w:r>
          </w:p>
        </w:tc>
        <w:tc>
          <w:tcPr>
            <w:tcW w:type="dxa" w:w="3024"/>
          </w:tcPr>
          <w:p>
            <w:r>
              <w:rPr>
                <w:rFonts w:ascii="Times New Roman" w:hAnsi="Times New Roman"/>
                <w:sz w:val="19"/>
              </w:rPr>
              <w:t>Tanimoto chemical distance</w:t>
            </w:r>
          </w:p>
        </w:tc>
      </w:tr>
      <w:tr>
        <w:tc>
          <w:tcPr>
            <w:tcW w:type="dxa" w:w="3024"/>
          </w:tcPr>
          <w:p>
            <w:r>
              <w:rPr>
                <w:rFonts w:ascii="Times New Roman" w:hAnsi="Times New Roman"/>
                <w:sz w:val="19"/>
              </w:rPr>
              <w:t>6</w:t>
            </w:r>
          </w:p>
        </w:tc>
        <w:tc>
          <w:tcPr>
            <w:tcW w:type="dxa" w:w="3024"/>
          </w:tcPr>
          <w:p>
            <w:r>
              <w:rPr>
                <w:rFonts w:ascii="Times New Roman" w:hAnsi="Times New Roman"/>
                <w:sz w:val="19"/>
              </w:rPr>
              <w:t>meeko</w:t>
            </w:r>
          </w:p>
        </w:tc>
        <w:tc>
          <w:tcPr>
            <w:tcW w:type="dxa" w:w="3024"/>
          </w:tcPr>
          <w:p>
            <w:r>
              <w:rPr>
                <w:rFonts w:ascii="Times New Roman" w:hAnsi="Times New Roman"/>
                <w:sz w:val="19"/>
              </w:rPr>
              <w:t>receptor and ligand PDBQT preparation</w:t>
            </w:r>
          </w:p>
        </w:tc>
      </w:tr>
      <w:tr>
        <w:tc>
          <w:tcPr>
            <w:tcW w:type="dxa" w:w="3024"/>
          </w:tcPr>
          <w:p>
            <w:r>
              <w:rPr>
                <w:rFonts w:ascii="Times New Roman" w:hAnsi="Times New Roman"/>
                <w:sz w:val="19"/>
              </w:rPr>
              <w:t>7</w:t>
            </w:r>
          </w:p>
        </w:tc>
        <w:tc>
          <w:tcPr>
            <w:tcW w:type="dxa" w:w="3024"/>
          </w:tcPr>
          <w:p>
            <w:r>
              <w:rPr>
                <w:rFonts w:ascii="Times New Roman" w:hAnsi="Times New Roman"/>
                <w:sz w:val="19"/>
              </w:rPr>
              <w:t>Gasteiger charges (meeko)</w:t>
            </w:r>
          </w:p>
        </w:tc>
        <w:tc>
          <w:tcPr>
            <w:tcW w:type="dxa" w:w="3024"/>
          </w:tcPr>
          <w:p>
            <w:r>
              <w:rPr>
                <w:rFonts w:ascii="Times New Roman" w:hAnsi="Times New Roman"/>
                <w:sz w:val="19"/>
              </w:rPr>
              <w:t>partial charge assignment</w:t>
            </w:r>
          </w:p>
        </w:tc>
      </w:tr>
      <w:tr>
        <w:tc>
          <w:tcPr>
            <w:tcW w:type="dxa" w:w="3024"/>
          </w:tcPr>
          <w:p>
            <w:r>
              <w:rPr>
                <w:rFonts w:ascii="Times New Roman" w:hAnsi="Times New Roman"/>
                <w:sz w:val="19"/>
              </w:rPr>
              <w:t>8</w:t>
            </w:r>
          </w:p>
        </w:tc>
        <w:tc>
          <w:tcPr>
            <w:tcW w:type="dxa" w:w="3024"/>
          </w:tcPr>
          <w:p>
            <w:r>
              <w:rPr>
                <w:rFonts w:ascii="Times New Roman" w:hAnsi="Times New Roman"/>
                <w:sz w:val="19"/>
              </w:rPr>
              <w:t>AutoDock4 atom types</w:t>
            </w:r>
          </w:p>
        </w:tc>
        <w:tc>
          <w:tcPr>
            <w:tcW w:type="dxa" w:w="3024"/>
          </w:tcPr>
          <w:p>
            <w:r>
              <w:rPr>
                <w:rFonts w:ascii="Times New Roman" w:hAnsi="Times New Roman"/>
                <w:sz w:val="19"/>
              </w:rPr>
              <w:t>force-field typing for Vina</w:t>
            </w:r>
          </w:p>
        </w:tc>
      </w:tr>
      <w:tr>
        <w:tc>
          <w:tcPr>
            <w:tcW w:type="dxa" w:w="3024"/>
          </w:tcPr>
          <w:p>
            <w:r>
              <w:rPr>
                <w:rFonts w:ascii="Times New Roman" w:hAnsi="Times New Roman"/>
                <w:sz w:val="19"/>
              </w:rPr>
              <w:t>9</w:t>
            </w:r>
          </w:p>
        </w:tc>
        <w:tc>
          <w:tcPr>
            <w:tcW w:type="dxa" w:w="3024"/>
          </w:tcPr>
          <w:p>
            <w:r>
              <w:rPr>
                <w:rFonts w:ascii="Times New Roman" w:hAnsi="Times New Roman"/>
                <w:sz w:val="19"/>
              </w:rPr>
              <w:t>PubChem PUG-REST</w:t>
            </w:r>
          </w:p>
        </w:tc>
        <w:tc>
          <w:tcPr>
            <w:tcW w:type="dxa" w:w="3024"/>
          </w:tcPr>
          <w:p>
            <w:r>
              <w:rPr>
                <w:rFonts w:ascii="Times New Roman" w:hAnsi="Times New Roman"/>
                <w:sz w:val="19"/>
              </w:rPr>
              <w:t>SMILES resolution, properties, novelty identity + similarity</w:t>
            </w:r>
          </w:p>
        </w:tc>
      </w:tr>
      <w:tr>
        <w:tc>
          <w:tcPr>
            <w:tcW w:type="dxa" w:w="3024"/>
          </w:tcPr>
          <w:p>
            <w:r>
              <w:rPr>
                <w:rFonts w:ascii="Times New Roman" w:hAnsi="Times New Roman"/>
                <w:sz w:val="19"/>
              </w:rPr>
              <w:t>10</w:t>
            </w:r>
          </w:p>
        </w:tc>
        <w:tc>
          <w:tcPr>
            <w:tcW w:type="dxa" w:w="3024"/>
          </w:tcPr>
          <w:p>
            <w:r>
              <w:rPr>
                <w:rFonts w:ascii="Times New Roman" w:hAnsi="Times New Roman"/>
                <w:sz w:val="19"/>
              </w:rPr>
              <w:t>RCSB PDB</w:t>
            </w:r>
          </w:p>
        </w:tc>
        <w:tc>
          <w:tcPr>
            <w:tcW w:type="dxa" w:w="3024"/>
          </w:tcPr>
          <w:p>
            <w:r>
              <w:rPr>
                <w:rFonts w:ascii="Times New Roman" w:hAnsi="Times New Roman"/>
                <w:sz w:val="19"/>
              </w:rPr>
              <w:t>7KX5 structure and entry metadata</w:t>
            </w:r>
          </w:p>
        </w:tc>
      </w:tr>
      <w:tr>
        <w:tc>
          <w:tcPr>
            <w:tcW w:type="dxa" w:w="3024"/>
          </w:tcPr>
          <w:p>
            <w:r>
              <w:rPr>
                <w:rFonts w:ascii="Times New Roman" w:hAnsi="Times New Roman"/>
                <w:sz w:val="19"/>
              </w:rPr>
              <w:t>11</w:t>
            </w:r>
          </w:p>
        </w:tc>
        <w:tc>
          <w:tcPr>
            <w:tcW w:type="dxa" w:w="3024"/>
          </w:tcPr>
          <w:p>
            <w:r>
              <w:rPr>
                <w:rFonts w:ascii="Times New Roman" w:hAnsi="Times New Roman"/>
                <w:sz w:val="19"/>
              </w:rPr>
              <w:t>RCSB PDB data API</w:t>
            </w:r>
          </w:p>
        </w:tc>
        <w:tc>
          <w:tcPr>
            <w:tcW w:type="dxa" w:w="3024"/>
          </w:tcPr>
          <w:p>
            <w:r>
              <w:rPr>
                <w:rFonts w:ascii="Times New Roman" w:hAnsi="Times New Roman"/>
                <w:sz w:val="19"/>
              </w:rPr>
              <w:t>ten-structure pocket set metadata</w:t>
            </w:r>
          </w:p>
        </w:tc>
      </w:tr>
      <w:tr>
        <w:tc>
          <w:tcPr>
            <w:tcW w:type="dxa" w:w="3024"/>
          </w:tcPr>
          <w:p>
            <w:r>
              <w:rPr>
                <w:rFonts w:ascii="Times New Roman" w:hAnsi="Times New Roman"/>
                <w:sz w:val="19"/>
              </w:rPr>
              <w:t>12</w:t>
            </w:r>
          </w:p>
        </w:tc>
        <w:tc>
          <w:tcPr>
            <w:tcW w:type="dxa" w:w="3024"/>
          </w:tcPr>
          <w:p>
            <w:r>
              <w:rPr>
                <w:rFonts w:ascii="Times New Roman" w:hAnsi="Times New Roman"/>
                <w:sz w:val="19"/>
              </w:rPr>
              <w:t>PDB Chemical Component Dictionary</w:t>
            </w:r>
          </w:p>
        </w:tc>
        <w:tc>
          <w:tcPr>
            <w:tcW w:type="dxa" w:w="3024"/>
          </w:tcPr>
          <w:p>
            <w:r>
              <w:rPr>
                <w:rFonts w:ascii="Times New Roman" w:hAnsi="Times New Roman"/>
                <w:sz w:val="19"/>
              </w:rPr>
              <w:t>X7V ideal coordinates</w:t>
            </w:r>
          </w:p>
        </w:tc>
      </w:tr>
      <w:tr>
        <w:tc>
          <w:tcPr>
            <w:tcW w:type="dxa" w:w="3024"/>
          </w:tcPr>
          <w:p>
            <w:r>
              <w:rPr>
                <w:rFonts w:ascii="Times New Roman" w:hAnsi="Times New Roman"/>
                <w:sz w:val="19"/>
              </w:rPr>
              <w:t>13</w:t>
            </w:r>
          </w:p>
        </w:tc>
        <w:tc>
          <w:tcPr>
            <w:tcW w:type="dxa" w:w="3024"/>
          </w:tcPr>
          <w:p>
            <w:r>
              <w:rPr>
                <w:rFonts w:ascii="Times New Roman" w:hAnsi="Times New Roman"/>
                <w:sz w:val="19"/>
              </w:rPr>
              <w:t>PDBe API</w:t>
            </w:r>
          </w:p>
        </w:tc>
        <w:tc>
          <w:tcPr>
            <w:tcW w:type="dxa" w:w="3024"/>
          </w:tcPr>
          <w:p>
            <w:r>
              <w:rPr>
                <w:rFonts w:ascii="Times New Roman" w:hAnsi="Times New Roman"/>
                <w:sz w:val="19"/>
              </w:rPr>
              <w:t>independent ligand inventory of 7KX5</w:t>
            </w:r>
          </w:p>
        </w:tc>
      </w:tr>
      <w:tr>
        <w:tc>
          <w:tcPr>
            <w:tcW w:type="dxa" w:w="3024"/>
          </w:tcPr>
          <w:p>
            <w:r>
              <w:rPr>
                <w:rFonts w:ascii="Times New Roman" w:hAnsi="Times New Roman"/>
                <w:sz w:val="19"/>
              </w:rPr>
              <w:t>14</w:t>
            </w:r>
          </w:p>
        </w:tc>
        <w:tc>
          <w:tcPr>
            <w:tcW w:type="dxa" w:w="3024"/>
          </w:tcPr>
          <w:p>
            <w:r>
              <w:rPr>
                <w:rFonts w:ascii="Times New Roman" w:hAnsi="Times New Roman"/>
                <w:sz w:val="19"/>
              </w:rPr>
              <w:t>ChEMBL API</w:t>
            </w:r>
          </w:p>
        </w:tc>
        <w:tc>
          <w:tcPr>
            <w:tcW w:type="dxa" w:w="3024"/>
          </w:tcPr>
          <w:p>
            <w:r>
              <w:rPr>
                <w:rFonts w:ascii="Times New Roman" w:hAnsi="Times New Roman"/>
                <w:sz w:val="19"/>
              </w:rPr>
              <w:t>molecule anchors + 65 assay sets for labels</w:t>
            </w:r>
          </w:p>
        </w:tc>
      </w:tr>
      <w:tr>
        <w:tc>
          <w:tcPr>
            <w:tcW w:type="dxa" w:w="3024"/>
          </w:tcPr>
          <w:p>
            <w:r>
              <w:rPr>
                <w:rFonts w:ascii="Times New Roman" w:hAnsi="Times New Roman"/>
                <w:sz w:val="19"/>
              </w:rPr>
              <w:t>15</w:t>
            </w:r>
          </w:p>
        </w:tc>
        <w:tc>
          <w:tcPr>
            <w:tcW w:type="dxa" w:w="3024"/>
          </w:tcPr>
          <w:p>
            <w:r>
              <w:rPr>
                <w:rFonts w:ascii="Times New Roman" w:hAnsi="Times New Roman"/>
                <w:sz w:val="19"/>
              </w:rPr>
              <w:t>UniProt REST</w:t>
            </w:r>
          </w:p>
        </w:tc>
        <w:tc>
          <w:tcPr>
            <w:tcW w:type="dxa" w:w="3024"/>
          </w:tcPr>
          <w:p>
            <w:r>
              <w:rPr>
                <w:rFonts w:ascii="Times New Roman" w:hAnsi="Times New Roman"/>
                <w:sz w:val="19"/>
              </w:rPr>
              <w:t>P0DTD1 target identity</w:t>
            </w:r>
          </w:p>
        </w:tc>
      </w:tr>
      <w:tr>
        <w:tc>
          <w:tcPr>
            <w:tcW w:type="dxa" w:w="3024"/>
          </w:tcPr>
          <w:p>
            <w:r>
              <w:rPr>
                <w:rFonts w:ascii="Times New Roman" w:hAnsi="Times New Roman"/>
                <w:sz w:val="19"/>
              </w:rPr>
              <w:t>16</w:t>
            </w:r>
          </w:p>
        </w:tc>
        <w:tc>
          <w:tcPr>
            <w:tcW w:type="dxa" w:w="3024"/>
          </w:tcPr>
          <w:p>
            <w:r>
              <w:rPr>
                <w:rFonts w:ascii="Times New Roman" w:hAnsi="Times New Roman"/>
                <w:sz w:val="19"/>
              </w:rPr>
              <w:t>Europe PMC API</w:t>
            </w:r>
          </w:p>
        </w:tc>
        <w:tc>
          <w:tcPr>
            <w:tcW w:type="dxa" w:w="3024"/>
          </w:tcPr>
          <w:p>
            <w:r>
              <w:rPr>
                <w:rFonts w:ascii="Times New Roman" w:hAnsi="Times New Roman"/>
                <w:sz w:val="19"/>
              </w:rPr>
              <w:t>per-compound literature counts</w:t>
            </w:r>
          </w:p>
        </w:tc>
      </w:tr>
      <w:tr>
        <w:tc>
          <w:tcPr>
            <w:tcW w:type="dxa" w:w="3024"/>
          </w:tcPr>
          <w:p>
            <w:r>
              <w:rPr>
                <w:rFonts w:ascii="Times New Roman" w:hAnsi="Times New Roman"/>
                <w:sz w:val="19"/>
              </w:rPr>
              <w:t>17</w:t>
            </w:r>
          </w:p>
        </w:tc>
        <w:tc>
          <w:tcPr>
            <w:tcW w:type="dxa" w:w="3024"/>
          </w:tcPr>
          <w:p>
            <w:r>
              <w:rPr>
                <w:rFonts w:ascii="Times New Roman" w:hAnsi="Times New Roman"/>
                <w:sz w:val="19"/>
              </w:rPr>
              <w:t>NCBI E-utilities</w:t>
            </w:r>
          </w:p>
        </w:tc>
        <w:tc>
          <w:tcPr>
            <w:tcW w:type="dxa" w:w="3024"/>
          </w:tcPr>
          <w:p>
            <w:r>
              <w:rPr>
                <w:rFonts w:ascii="Times New Roman" w:hAnsi="Times New Roman"/>
                <w:sz w:val="19"/>
              </w:rPr>
              <w:t>PubMed field-size count</w:t>
            </w:r>
          </w:p>
        </w:tc>
      </w:tr>
      <w:tr>
        <w:tc>
          <w:tcPr>
            <w:tcW w:type="dxa" w:w="3024"/>
          </w:tcPr>
          <w:p>
            <w:r>
              <w:rPr>
                <w:rFonts w:ascii="Times New Roman" w:hAnsi="Times New Roman"/>
                <w:sz w:val="19"/>
              </w:rPr>
              <w:t>18</w:t>
            </w:r>
          </w:p>
        </w:tc>
        <w:tc>
          <w:tcPr>
            <w:tcW w:type="dxa" w:w="3024"/>
          </w:tcPr>
          <w:p>
            <w:r>
              <w:rPr>
                <w:rFonts w:ascii="Times New Roman" w:hAnsi="Times New Roman"/>
                <w:sz w:val="19"/>
              </w:rPr>
              <w:t>ClinicalTrials.gov API v2</w:t>
            </w:r>
          </w:p>
        </w:tc>
        <w:tc>
          <w:tcPr>
            <w:tcW w:type="dxa" w:w="3024"/>
          </w:tcPr>
          <w:p>
            <w:r>
              <w:rPr>
                <w:rFonts w:ascii="Times New Roman" w:hAnsi="Times New Roman"/>
                <w:sz w:val="19"/>
              </w:rPr>
              <w:t>clinical study counts</w:t>
            </w:r>
          </w:p>
        </w:tc>
      </w:tr>
      <w:tr>
        <w:tc>
          <w:tcPr>
            <w:tcW w:type="dxa" w:w="3024"/>
          </w:tcPr>
          <w:p>
            <w:r>
              <w:rPr>
                <w:rFonts w:ascii="Times New Roman" w:hAnsi="Times New Roman"/>
                <w:sz w:val="19"/>
              </w:rPr>
              <w:t>19</w:t>
            </w:r>
          </w:p>
        </w:tc>
        <w:tc>
          <w:tcPr>
            <w:tcW w:type="dxa" w:w="3024"/>
          </w:tcPr>
          <w:p>
            <w:r>
              <w:rPr>
                <w:rFonts w:ascii="Times New Roman" w:hAnsi="Times New Roman"/>
                <w:sz w:val="19"/>
              </w:rPr>
              <w:t>AlphaFold DB API</w:t>
            </w:r>
          </w:p>
        </w:tc>
        <w:tc>
          <w:tcPr>
            <w:tcW w:type="dxa" w:w="3024"/>
          </w:tcPr>
          <w:p>
            <w:r>
              <w:rPr>
                <w:rFonts w:ascii="Times New Roman" w:hAnsi="Times New Roman"/>
                <w:sz w:val="19"/>
              </w:rPr>
              <w:t>predicted-model cross-check</w:t>
            </w:r>
          </w:p>
        </w:tc>
      </w:tr>
      <w:tr>
        <w:tc>
          <w:tcPr>
            <w:tcW w:type="dxa" w:w="3024"/>
          </w:tcPr>
          <w:p>
            <w:r>
              <w:rPr>
                <w:rFonts w:ascii="Times New Roman" w:hAnsi="Times New Roman"/>
                <w:sz w:val="19"/>
              </w:rPr>
              <w:t>20</w:t>
            </w:r>
          </w:p>
        </w:tc>
        <w:tc>
          <w:tcPr>
            <w:tcW w:type="dxa" w:w="3024"/>
          </w:tcPr>
          <w:p>
            <w:r>
              <w:rPr>
                <w:rFonts w:ascii="Times New Roman" w:hAnsi="Times New Roman"/>
                <w:sz w:val="19"/>
              </w:rPr>
              <w:t>CrossRef API</w:t>
            </w:r>
          </w:p>
        </w:tc>
        <w:tc>
          <w:tcPr>
            <w:tcW w:type="dxa" w:w="3024"/>
          </w:tcPr>
          <w:p>
            <w:r>
              <w:rPr>
                <w:rFonts w:ascii="Times New Roman" w:hAnsi="Times New Roman"/>
                <w:sz w:val="19"/>
              </w:rPr>
              <w:t>DOI verification of references</w:t>
            </w:r>
          </w:p>
        </w:tc>
      </w:tr>
      <w:tr>
        <w:tc>
          <w:tcPr>
            <w:tcW w:type="dxa" w:w="3024"/>
          </w:tcPr>
          <w:p>
            <w:r>
              <w:rPr>
                <w:rFonts w:ascii="Times New Roman" w:hAnsi="Times New Roman"/>
                <w:sz w:val="19"/>
              </w:rPr>
              <w:t>21</w:t>
            </w:r>
          </w:p>
        </w:tc>
        <w:tc>
          <w:tcPr>
            <w:tcW w:type="dxa" w:w="3024"/>
          </w:tcPr>
          <w:p>
            <w:r>
              <w:rPr>
                <w:rFonts w:ascii="Times New Roman" w:hAnsi="Times New Roman"/>
                <w:sz w:val="19"/>
              </w:rPr>
              <w:t>NumPy</w:t>
            </w:r>
          </w:p>
        </w:tc>
        <w:tc>
          <w:tcPr>
            <w:tcW w:type="dxa" w:w="3024"/>
          </w:tcPr>
          <w:p>
            <w:r>
              <w:rPr>
                <w:rFonts w:ascii="Times New Roman" w:hAnsi="Times New Roman"/>
                <w:sz w:val="19"/>
              </w:rPr>
              <w:t>numerical core</w:t>
            </w:r>
          </w:p>
        </w:tc>
      </w:tr>
      <w:tr>
        <w:tc>
          <w:tcPr>
            <w:tcW w:type="dxa" w:w="3024"/>
          </w:tcPr>
          <w:p>
            <w:r>
              <w:rPr>
                <w:rFonts w:ascii="Times New Roman" w:hAnsi="Times New Roman"/>
                <w:sz w:val="19"/>
              </w:rPr>
              <w:t>22</w:t>
            </w:r>
          </w:p>
        </w:tc>
        <w:tc>
          <w:tcPr>
            <w:tcW w:type="dxa" w:w="3024"/>
          </w:tcPr>
          <w:p>
            <w:r>
              <w:rPr>
                <w:rFonts w:ascii="Times New Roman" w:hAnsi="Times New Roman"/>
                <w:sz w:val="19"/>
              </w:rPr>
              <w:t>SciPy</w:t>
            </w:r>
          </w:p>
        </w:tc>
        <w:tc>
          <w:tcPr>
            <w:tcW w:type="dxa" w:w="3024"/>
          </w:tcPr>
          <w:p>
            <w:r>
              <w:rPr>
                <w:rFonts w:ascii="Times New Roman" w:hAnsi="Times New Roman"/>
                <w:sz w:val="19"/>
              </w:rPr>
              <w:t>hypergeometric test, Hungarian assignment</w:t>
            </w:r>
          </w:p>
        </w:tc>
      </w:tr>
      <w:tr>
        <w:tc>
          <w:tcPr>
            <w:tcW w:type="dxa" w:w="3024"/>
          </w:tcPr>
          <w:p>
            <w:r>
              <w:rPr>
                <w:rFonts w:ascii="Times New Roman" w:hAnsi="Times New Roman"/>
                <w:sz w:val="19"/>
              </w:rPr>
              <w:t>23</w:t>
            </w:r>
          </w:p>
        </w:tc>
        <w:tc>
          <w:tcPr>
            <w:tcW w:type="dxa" w:w="3024"/>
          </w:tcPr>
          <w:p>
            <w:r>
              <w:rPr>
                <w:rFonts w:ascii="Times New Roman" w:hAnsi="Times New Roman"/>
                <w:sz w:val="19"/>
              </w:rPr>
              <w:t>scikit-learn</w:t>
            </w:r>
          </w:p>
        </w:tc>
        <w:tc>
          <w:tcPr>
            <w:tcW w:type="dxa" w:w="3024"/>
          </w:tcPr>
          <w:p>
            <w:r>
              <w:rPr>
                <w:rFonts w:ascii="Times New Roman" w:hAnsi="Times New Roman"/>
                <w:sz w:val="19"/>
              </w:rPr>
              <w:t>descriptor MLP, AUROC metrics</w:t>
            </w:r>
          </w:p>
        </w:tc>
      </w:tr>
      <w:tr>
        <w:tc>
          <w:tcPr>
            <w:tcW w:type="dxa" w:w="3024"/>
          </w:tcPr>
          <w:p>
            <w:r>
              <w:rPr>
                <w:rFonts w:ascii="Times New Roman" w:hAnsi="Times New Roman"/>
                <w:sz w:val="19"/>
              </w:rPr>
              <w:t>24</w:t>
            </w:r>
          </w:p>
        </w:tc>
        <w:tc>
          <w:tcPr>
            <w:tcW w:type="dxa" w:w="3024"/>
          </w:tcPr>
          <w:p>
            <w:r>
              <w:rPr>
                <w:rFonts w:ascii="Times New Roman" w:hAnsi="Times New Roman"/>
                <w:sz w:val="19"/>
              </w:rPr>
              <w:t>PyTorch</w:t>
            </w:r>
          </w:p>
        </w:tc>
        <w:tc>
          <w:tcPr>
            <w:tcW w:type="dxa" w:w="3024"/>
          </w:tcPr>
          <w:p>
            <w:r>
              <w:rPr>
                <w:rFonts w:ascii="Times New Roman" w:hAnsi="Times New Roman"/>
                <w:sz w:val="19"/>
              </w:rPr>
              <w:t>pose-graph GNN rescorer</w:t>
            </w:r>
          </w:p>
        </w:tc>
      </w:tr>
      <w:tr>
        <w:tc>
          <w:tcPr>
            <w:tcW w:type="dxa" w:w="3024"/>
          </w:tcPr>
          <w:p>
            <w:r>
              <w:rPr>
                <w:rFonts w:ascii="Times New Roman" w:hAnsi="Times New Roman"/>
                <w:sz w:val="19"/>
              </w:rPr>
              <w:t>25</w:t>
            </w:r>
          </w:p>
        </w:tc>
        <w:tc>
          <w:tcPr>
            <w:tcW w:type="dxa" w:w="3024"/>
          </w:tcPr>
          <w:p>
            <w:r>
              <w:rPr>
                <w:rFonts w:ascii="Times New Roman" w:hAnsi="Times New Roman"/>
                <w:sz w:val="19"/>
              </w:rPr>
              <w:t>matplotlib</w:t>
            </w:r>
          </w:p>
        </w:tc>
        <w:tc>
          <w:tcPr>
            <w:tcW w:type="dxa" w:w="3024"/>
          </w:tcPr>
          <w:p>
            <w:r>
              <w:rPr>
                <w:rFonts w:ascii="Times New Roman" w:hAnsi="Times New Roman"/>
                <w:sz w:val="19"/>
              </w:rPr>
              <w:t>all figures</w:t>
            </w:r>
          </w:p>
        </w:tc>
      </w:tr>
      <w:tr>
        <w:tc>
          <w:tcPr>
            <w:tcW w:type="dxa" w:w="3024"/>
          </w:tcPr>
          <w:p>
            <w:r>
              <w:rPr>
                <w:rFonts w:ascii="Times New Roman" w:hAnsi="Times New Roman"/>
                <w:sz w:val="19"/>
              </w:rPr>
              <w:t>26</w:t>
            </w:r>
          </w:p>
        </w:tc>
        <w:tc>
          <w:tcPr>
            <w:tcW w:type="dxa" w:w="3024"/>
          </w:tcPr>
          <w:p>
            <w:r>
              <w:rPr>
                <w:rFonts w:ascii="Times New Roman" w:hAnsi="Times New Roman"/>
                <w:sz w:val="19"/>
              </w:rPr>
              <w:t>requests / urllib</w:t>
            </w:r>
          </w:p>
        </w:tc>
        <w:tc>
          <w:tcPr>
            <w:tcW w:type="dxa" w:w="3024"/>
          </w:tcPr>
          <w:p>
            <w:r>
              <w:rPr>
                <w:rFonts w:ascii="Times New Roman" w:hAnsi="Times New Roman"/>
                <w:sz w:val="19"/>
              </w:rPr>
              <w:t>live API clients</w:t>
            </w:r>
          </w:p>
        </w:tc>
      </w:tr>
      <w:tr>
        <w:tc>
          <w:tcPr>
            <w:tcW w:type="dxa" w:w="3024"/>
          </w:tcPr>
          <w:p>
            <w:r>
              <w:rPr>
                <w:rFonts w:ascii="Times New Roman" w:hAnsi="Times New Roman"/>
                <w:sz w:val="19"/>
              </w:rPr>
              <w:t>27</w:t>
            </w:r>
          </w:p>
        </w:tc>
        <w:tc>
          <w:tcPr>
            <w:tcW w:type="dxa" w:w="3024"/>
          </w:tcPr>
          <w:p>
            <w:r>
              <w:rPr>
                <w:rFonts w:ascii="Times New Roman" w:hAnsi="Times New Roman"/>
                <w:sz w:val="19"/>
              </w:rPr>
              <w:t>pytest</w:t>
            </w:r>
          </w:p>
        </w:tc>
        <w:tc>
          <w:tcPr>
            <w:tcW w:type="dxa" w:w="3024"/>
          </w:tcPr>
          <w:p>
            <w:r>
              <w:rPr>
                <w:rFonts w:ascii="Times New Roman" w:hAnsi="Times New Roman"/>
                <w:sz w:val="19"/>
              </w:rPr>
              <w:t>hermetic test suite (17 tests)</w:t>
            </w:r>
          </w:p>
        </w:tc>
      </w:tr>
      <w:tr>
        <w:tc>
          <w:tcPr>
            <w:tcW w:type="dxa" w:w="3024"/>
          </w:tcPr>
          <w:p>
            <w:r>
              <w:rPr>
                <w:rFonts w:ascii="Times New Roman" w:hAnsi="Times New Roman"/>
                <w:sz w:val="19"/>
              </w:rPr>
              <w:t>28</w:t>
            </w:r>
          </w:p>
        </w:tc>
        <w:tc>
          <w:tcPr>
            <w:tcW w:type="dxa" w:w="3024"/>
          </w:tcPr>
          <w:p>
            <w:r>
              <w:rPr>
                <w:rFonts w:ascii="Times New Roman" w:hAnsi="Times New Roman"/>
                <w:sz w:val="19"/>
              </w:rPr>
              <w:t>python-docx</w:t>
            </w:r>
          </w:p>
        </w:tc>
        <w:tc>
          <w:tcPr>
            <w:tcW w:type="dxa" w:w="3024"/>
          </w:tcPr>
          <w:p>
            <w:r>
              <w:rPr>
                <w:rFonts w:ascii="Times New Roman" w:hAnsi="Times New Roman"/>
                <w:sz w:val="19"/>
              </w:rPr>
              <w:t>generated paper (this document)</w:t>
            </w:r>
          </w:p>
        </w:tc>
      </w:tr>
      <w:tr>
        <w:tc>
          <w:tcPr>
            <w:tcW w:type="dxa" w:w="3024"/>
          </w:tcPr>
          <w:p>
            <w:r>
              <w:rPr>
                <w:rFonts w:ascii="Times New Roman" w:hAnsi="Times New Roman"/>
                <w:sz w:val="19"/>
              </w:rPr>
              <w:t>29</w:t>
            </w:r>
          </w:p>
        </w:tc>
        <w:tc>
          <w:tcPr>
            <w:tcW w:type="dxa" w:w="3024"/>
          </w:tcPr>
          <w:p>
            <w:r>
              <w:rPr>
                <w:rFonts w:ascii="Times New Roman" w:hAnsi="Times New Roman"/>
                <w:sz w:val="19"/>
              </w:rPr>
              <w:t>LibreOffice (soffice)</w:t>
            </w:r>
          </w:p>
        </w:tc>
        <w:tc>
          <w:tcPr>
            <w:tcW w:type="dxa" w:w="3024"/>
          </w:tcPr>
          <w:p>
            <w:r>
              <w:rPr>
                <w:rFonts w:ascii="Times New Roman" w:hAnsi="Times New Roman"/>
                <w:sz w:val="19"/>
              </w:rPr>
              <w:t>PDF rendering of the paper</w:t>
            </w:r>
          </w:p>
        </w:tc>
      </w:tr>
      <w:tr>
        <w:tc>
          <w:tcPr>
            <w:tcW w:type="dxa" w:w="3024"/>
          </w:tcPr>
          <w:p>
            <w:r>
              <w:rPr>
                <w:rFonts w:ascii="Times New Roman" w:hAnsi="Times New Roman"/>
                <w:sz w:val="19"/>
              </w:rPr>
              <w:t>30</w:t>
            </w:r>
          </w:p>
        </w:tc>
        <w:tc>
          <w:tcPr>
            <w:tcW w:type="dxa" w:w="3024"/>
          </w:tcPr>
          <w:p>
            <w:r>
              <w:rPr>
                <w:rFonts w:ascii="Times New Roman" w:hAnsi="Times New Roman"/>
                <w:sz w:val="19"/>
              </w:rPr>
              <w:t>Hungarian algorithm</w:t>
            </w:r>
          </w:p>
        </w:tc>
        <w:tc>
          <w:tcPr>
            <w:tcW w:type="dxa" w:w="3024"/>
          </w:tcPr>
          <w:p>
            <w:r>
              <w:rPr>
                <w:rFonts w:ascii="Times New Roman" w:hAnsi="Times New Roman"/>
                <w:sz w:val="19"/>
              </w:rPr>
              <w:t>connectivity-free pose-RMSD assignment</w:t>
            </w:r>
          </w:p>
        </w:tc>
      </w:tr>
      <w:tr>
        <w:tc>
          <w:tcPr>
            <w:tcW w:type="dxa" w:w="3024"/>
          </w:tcPr>
          <w:p>
            <w:r>
              <w:rPr>
                <w:rFonts w:ascii="Times New Roman" w:hAnsi="Times New Roman"/>
                <w:sz w:val="19"/>
              </w:rPr>
              <w:t>31</w:t>
            </w:r>
          </w:p>
        </w:tc>
        <w:tc>
          <w:tcPr>
            <w:tcW w:type="dxa" w:w="3024"/>
          </w:tcPr>
          <w:p>
            <w:r>
              <w:rPr>
                <w:rFonts w:ascii="Times New Roman" w:hAnsi="Times New Roman"/>
                <w:sz w:val="19"/>
              </w:rPr>
              <w:t>Kabsch algorithm</w:t>
            </w:r>
          </w:p>
        </w:tc>
        <w:tc>
          <w:tcPr>
            <w:tcW w:type="dxa" w:w="3024"/>
          </w:tcPr>
          <w:p>
            <w:r>
              <w:rPr>
                <w:rFonts w:ascii="Times New Roman" w:hAnsi="Times New Roman"/>
                <w:sz w:val="19"/>
              </w:rPr>
              <w:t>rigid superposition for RMSD</w:t>
            </w:r>
          </w:p>
        </w:tc>
      </w:tr>
      <w:tr>
        <w:tc>
          <w:tcPr>
            <w:tcW w:type="dxa" w:w="3024"/>
          </w:tcPr>
          <w:p>
            <w:r>
              <w:rPr>
                <w:rFonts w:ascii="Times New Roman" w:hAnsi="Times New Roman"/>
                <w:sz w:val="19"/>
              </w:rPr>
              <w:t>32</w:t>
            </w:r>
          </w:p>
        </w:tc>
        <w:tc>
          <w:tcPr>
            <w:tcW w:type="dxa" w:w="3024"/>
          </w:tcPr>
          <w:p>
            <w:r>
              <w:rPr>
                <w:rFonts w:ascii="Times New Roman" w:hAnsi="Times New Roman"/>
                <w:sz w:val="19"/>
              </w:rPr>
              <w:t>BFGS (in Vina)</w:t>
            </w:r>
          </w:p>
        </w:tc>
        <w:tc>
          <w:tcPr>
            <w:tcW w:type="dxa" w:w="3024"/>
          </w:tcPr>
          <w:p>
            <w:r>
              <w:rPr>
                <w:rFonts w:ascii="Times New Roman" w:hAnsi="Times New Roman"/>
                <w:sz w:val="19"/>
              </w:rPr>
              <w:t>pose optimization inner loop</w:t>
            </w:r>
          </w:p>
        </w:tc>
      </w:tr>
      <w:tr>
        <w:tc>
          <w:tcPr>
            <w:tcW w:type="dxa" w:w="3024"/>
          </w:tcPr>
          <w:p>
            <w:r>
              <w:rPr>
                <w:rFonts w:ascii="Times New Roman" w:hAnsi="Times New Roman"/>
                <w:sz w:val="19"/>
              </w:rPr>
              <w:t>33</w:t>
            </w:r>
          </w:p>
        </w:tc>
        <w:tc>
          <w:tcPr>
            <w:tcW w:type="dxa" w:w="3024"/>
          </w:tcPr>
          <w:p>
            <w:r>
              <w:rPr>
                <w:rFonts w:ascii="Times New Roman" w:hAnsi="Times New Roman"/>
                <w:sz w:val="19"/>
              </w:rPr>
              <w:t>Mann-Whitney AUROC</w:t>
            </w:r>
          </w:p>
        </w:tc>
        <w:tc>
          <w:tcPr>
            <w:tcW w:type="dxa" w:w="3024"/>
          </w:tcPr>
          <w:p>
            <w:r>
              <w:rPr>
                <w:rFonts w:ascii="Times New Roman" w:hAnsi="Times New Roman"/>
                <w:sz w:val="19"/>
              </w:rPr>
              <w:t>ranking statistic (B.4)</w:t>
            </w:r>
          </w:p>
        </w:tc>
      </w:tr>
      <w:tr>
        <w:tc>
          <w:tcPr>
            <w:tcW w:type="dxa" w:w="3024"/>
          </w:tcPr>
          <w:p>
            <w:r>
              <w:rPr>
                <w:rFonts w:ascii="Times New Roman" w:hAnsi="Times New Roman"/>
                <w:sz w:val="19"/>
              </w:rPr>
              <w:t>34</w:t>
            </w:r>
          </w:p>
        </w:tc>
        <w:tc>
          <w:tcPr>
            <w:tcW w:type="dxa" w:w="3024"/>
          </w:tcPr>
          <w:p>
            <w:r>
              <w:rPr>
                <w:rFonts w:ascii="Times New Roman" w:hAnsi="Times New Roman"/>
                <w:sz w:val="19"/>
              </w:rPr>
              <w:t>Exact hypergeometric test</w:t>
            </w:r>
          </w:p>
        </w:tc>
        <w:tc>
          <w:tcPr>
            <w:tcW w:type="dxa" w:w="3024"/>
          </w:tcPr>
          <w:p>
            <w:r>
              <w:rPr>
                <w:rFonts w:ascii="Times New Roman" w:hAnsi="Times New Roman"/>
                <w:sz w:val="19"/>
              </w:rPr>
              <w:t>top-8 enrichment p-value (B.3)</w:t>
            </w:r>
          </w:p>
        </w:tc>
      </w:tr>
      <w:tr>
        <w:tc>
          <w:tcPr>
            <w:tcW w:type="dxa" w:w="3024"/>
          </w:tcPr>
          <w:p>
            <w:r>
              <w:rPr>
                <w:rFonts w:ascii="Times New Roman" w:hAnsi="Times New Roman"/>
                <w:sz w:val="19"/>
              </w:rPr>
              <w:t>35</w:t>
            </w:r>
          </w:p>
        </w:tc>
        <w:tc>
          <w:tcPr>
            <w:tcW w:type="dxa" w:w="3024"/>
          </w:tcPr>
          <w:p>
            <w:r>
              <w:rPr>
                <w:rFonts w:ascii="Times New Roman" w:hAnsi="Times New Roman"/>
                <w:sz w:val="19"/>
              </w:rPr>
              <w:t>Message-passing GNN</w:t>
            </w:r>
          </w:p>
        </w:tc>
        <w:tc>
          <w:tcPr>
            <w:tcW w:type="dxa" w:w="3024"/>
          </w:tcPr>
          <w:p>
            <w:r>
              <w:rPr>
                <w:rFonts w:ascii="Times New Roman" w:hAnsi="Times New Roman"/>
                <w:sz w:val="19"/>
              </w:rPr>
              <w:t>pose-graph rescoring (B.5)</w:t>
            </w:r>
          </w:p>
        </w:tc>
      </w:tr>
      <w:tr>
        <w:tc>
          <w:tcPr>
            <w:tcW w:type="dxa" w:w="3024"/>
          </w:tcPr>
          <w:p>
            <w:r>
              <w:rPr>
                <w:rFonts w:ascii="Times New Roman" w:hAnsi="Times New Roman"/>
                <w:sz w:val="19"/>
              </w:rPr>
              <w:t>36</w:t>
            </w:r>
          </w:p>
        </w:tc>
        <w:tc>
          <w:tcPr>
            <w:tcW w:type="dxa" w:w="3024"/>
          </w:tcPr>
          <w:p>
            <w:r>
              <w:rPr>
                <w:rFonts w:ascii="Times New Roman" w:hAnsi="Times New Roman"/>
                <w:sz w:val="19"/>
              </w:rPr>
              <w:t>Descriptor MLP</w:t>
            </w:r>
          </w:p>
        </w:tc>
        <w:tc>
          <w:tcPr>
            <w:tcW w:type="dxa" w:w="3024"/>
          </w:tcPr>
          <w:p>
            <w:r>
              <w:rPr>
                <w:rFonts w:ascii="Times New Roman" w:hAnsi="Times New Roman"/>
                <w:sz w:val="19"/>
              </w:rPr>
              <w:t>baseline learned rescorer</w:t>
            </w:r>
          </w:p>
        </w:tc>
      </w:tr>
      <w:tr>
        <w:tc>
          <w:tcPr>
            <w:tcW w:type="dxa" w:w="3024"/>
          </w:tcPr>
          <w:p>
            <w:r>
              <w:rPr>
                <w:rFonts w:ascii="Times New Roman" w:hAnsi="Times New Roman"/>
                <w:sz w:val="19"/>
              </w:rPr>
              <w:t>37</w:t>
            </w:r>
          </w:p>
        </w:tc>
        <w:tc>
          <w:tcPr>
            <w:tcW w:type="dxa" w:w="3024"/>
          </w:tcPr>
          <w:p>
            <w:r>
              <w:rPr>
                <w:rFonts w:ascii="Times New Roman" w:hAnsi="Times New Roman"/>
                <w:sz w:val="19"/>
              </w:rPr>
              <w:t>Tanimoto similarity</w:t>
            </w:r>
          </w:p>
        </w:tc>
        <w:tc>
          <w:tcPr>
            <w:tcW w:type="dxa" w:w="3024"/>
          </w:tcPr>
          <w:p>
            <w:r>
              <w:rPr>
                <w:rFonts w:ascii="Times New Roman" w:hAnsi="Times New Roman"/>
                <w:sz w:val="19"/>
              </w:rPr>
              <w:t>novelty distance to known drugs</w:t>
            </w:r>
          </w:p>
        </w:tc>
      </w:tr>
      <w:tr>
        <w:tc>
          <w:tcPr>
            <w:tcW w:type="dxa" w:w="3024"/>
          </w:tcPr>
          <w:p>
            <w:r>
              <w:rPr>
                <w:rFonts w:ascii="Times New Roman" w:hAnsi="Times New Roman"/>
                <w:sz w:val="19"/>
              </w:rPr>
              <w:t>38</w:t>
            </w:r>
          </w:p>
        </w:tc>
        <w:tc>
          <w:tcPr>
            <w:tcW w:type="dxa" w:w="3024"/>
          </w:tcPr>
          <w:p>
            <w:r>
              <w:rPr>
                <w:rFonts w:ascii="Times New Roman" w:hAnsi="Times New Roman"/>
                <w:sz w:val="19"/>
              </w:rPr>
              <w:t>PDBbind-fitted Vina weights</w:t>
            </w:r>
          </w:p>
        </w:tc>
        <w:tc>
          <w:tcPr>
            <w:tcW w:type="dxa" w:w="3024"/>
          </w:tcPr>
          <w:p>
            <w:r>
              <w:rPr>
                <w:rFonts w:ascii="Times New Roman" w:hAnsi="Times New Roman"/>
                <w:sz w:val="19"/>
              </w:rPr>
              <w:t>the engine's empirical calibration</w:t>
            </w:r>
          </w:p>
        </w:tc>
      </w:tr>
      <w:tr>
        <w:tc>
          <w:tcPr>
            <w:tcW w:type="dxa" w:w="3024"/>
          </w:tcPr>
          <w:p>
            <w:r>
              <w:rPr>
                <w:rFonts w:ascii="Times New Roman" w:hAnsi="Times New Roman"/>
                <w:sz w:val="19"/>
              </w:rPr>
              <w:t>39</w:t>
            </w:r>
          </w:p>
        </w:tc>
        <w:tc>
          <w:tcPr>
            <w:tcW w:type="dxa" w:w="3024"/>
          </w:tcPr>
          <w:p>
            <w:r>
              <w:rPr>
                <w:rFonts w:ascii="Times New Roman" w:hAnsi="Times New Roman"/>
                <w:sz w:val="19"/>
              </w:rPr>
              <w:t>Google Drive API</w:t>
            </w:r>
          </w:p>
        </w:tc>
        <w:tc>
          <w:tcPr>
            <w:tcW w:type="dxa" w:w="3024"/>
          </w:tcPr>
          <w:p>
            <w:r>
              <w:rPr>
                <w:rFonts w:ascii="Times New Roman" w:hAnsi="Times New Roman"/>
                <w:sz w:val="19"/>
              </w:rPr>
              <w:t>results delivery</w:t>
            </w:r>
          </w:p>
        </w:tc>
      </w:tr>
      <w:tr>
        <w:tc>
          <w:tcPr>
            <w:tcW w:type="dxa" w:w="3024"/>
          </w:tcPr>
          <w:p>
            <w:r>
              <w:rPr>
                <w:rFonts w:ascii="Times New Roman" w:hAnsi="Times New Roman"/>
                <w:sz w:val="19"/>
              </w:rPr>
              <w:t>40</w:t>
            </w:r>
          </w:p>
        </w:tc>
        <w:tc>
          <w:tcPr>
            <w:tcW w:type="dxa" w:w="3024"/>
          </w:tcPr>
          <w:p>
            <w:r>
              <w:rPr>
                <w:rFonts w:ascii="Times New Roman" w:hAnsi="Times New Roman"/>
                <w:sz w:val="19"/>
              </w:rPr>
              <w:t>GitHub</w:t>
            </w:r>
          </w:p>
        </w:tc>
        <w:tc>
          <w:tcPr>
            <w:tcW w:type="dxa" w:w="3024"/>
          </w:tcPr>
          <w:p>
            <w:r>
              <w:rPr>
                <w:rFonts w:ascii="Times New Roman" w:hAnsi="Times New Roman"/>
                <w:sz w:val="19"/>
              </w:rPr>
              <w:t>code and record distribution</w:t>
            </w:r>
          </w:p>
        </w:tc>
      </w:tr>
    </w:tbl>
    <w:p>
      <w:r>
        <w:br w:type="page"/>
      </w:r>
    </w:p>
    <w:p>
      <w:pPr>
        <w:pStyle w:val="Heading1"/>
        <w:pBdr>
          <w:bottom w:val="single" w:sz="12" w:space="4" w:color="1F4E9C"/>
        </w:pBdr>
      </w:pPr>
      <w:r>
        <w:rPr>
          <w:rFonts w:ascii="Times New Roman" w:hAnsi="Times New Roman"/>
          <w:color w:val="1F4E9C"/>
        </w:rPr>
        <w:t>Appendix K. Dataset Manifest (accession-level)</w:t>
      </w:r>
    </w:p>
    <w:p>
      <w:r>
        <w:rPr>
          <w:rFonts w:ascii="Times New Roman" w:hAnsi="Times New Roman"/>
          <w:b w:val="0"/>
          <w:i w:val="0"/>
        </w:rPr>
        <w:t>Counting rule: distinct accession-level datasets actually used; one study's condition matrix counts once per accession. Total: 580+ records across 14 source families (grew with the ChEMBL Mpro label set).</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dataset family</w:t>
            </w:r>
          </w:p>
        </w:tc>
        <w:tc>
          <w:tcPr>
            <w:tcW w:type="dxa" w:w="3024"/>
            <w:shd w:val="clear" w:fill="DCE6F1"/>
          </w:tcPr>
          <w:p>
            <w:r>
              <w:rPr>
                <w:rFonts w:ascii="Times New Roman" w:hAnsi="Times New Roman"/>
                <w:b/>
                <w:sz w:val="19"/>
              </w:rPr>
              <w:t>count</w:t>
            </w:r>
          </w:p>
        </w:tc>
        <w:tc>
          <w:tcPr>
            <w:tcW w:type="dxa" w:w="3024"/>
            <w:shd w:val="clear" w:fill="DCE6F1"/>
          </w:tcPr>
          <w:p>
            <w:r>
              <w:rPr>
                <w:rFonts w:ascii="Times New Roman" w:hAnsi="Times New Roman"/>
                <w:b/>
                <w:sz w:val="19"/>
              </w:rPr>
              <w:t>contents</w:t>
            </w:r>
          </w:p>
        </w:tc>
      </w:tr>
      <w:tr>
        <w:tc>
          <w:tcPr>
            <w:tcW w:type="dxa" w:w="3024"/>
          </w:tcPr>
          <w:p>
            <w:r>
              <w:rPr>
                <w:rFonts w:ascii="Times New Roman" w:hAnsi="Times New Roman"/>
                <w:sz w:val="19"/>
              </w:rPr>
              <w:t>PDB crystal structures</w:t>
            </w:r>
          </w:p>
        </w:tc>
        <w:tc>
          <w:tcPr>
            <w:tcW w:type="dxa" w:w="3024"/>
          </w:tcPr>
          <w:p>
            <w:r>
              <w:rPr>
                <w:rFonts w:ascii="Times New Roman" w:hAnsi="Times New Roman"/>
                <w:sz w:val="19"/>
              </w:rPr>
              <w:t>10</w:t>
            </w:r>
          </w:p>
        </w:tc>
        <w:tc>
          <w:tcPr>
            <w:tcW w:type="dxa" w:w="3024"/>
          </w:tcPr>
          <w:p>
            <w:r>
              <w:rPr>
                <w:rFonts w:ascii="Times New Roman" w:hAnsi="Times New Roman"/>
                <w:sz w:val="19"/>
              </w:rPr>
              <w:t>7KX5 receptor + 9-structure pocket set (6LU7, 7BQY, 6W63, 7K3T, 7L11, 7D1M, 7C6S, 7VTL, 7RFS)</w:t>
            </w:r>
          </w:p>
        </w:tc>
      </w:tr>
      <w:tr>
        <w:tc>
          <w:tcPr>
            <w:tcW w:type="dxa" w:w="3024"/>
          </w:tcPr>
          <w:p>
            <w:r>
              <w:rPr>
                <w:rFonts w:ascii="Times New Roman" w:hAnsi="Times New Roman"/>
                <w:sz w:val="19"/>
              </w:rPr>
              <w:t>PDB CCD ligand entries</w:t>
            </w:r>
          </w:p>
        </w:tc>
        <w:tc>
          <w:tcPr>
            <w:tcW w:type="dxa" w:w="3024"/>
          </w:tcPr>
          <w:p>
            <w:r>
              <w:rPr>
                <w:rFonts w:ascii="Times New Roman" w:hAnsi="Times New Roman"/>
                <w:sz w:val="19"/>
              </w:rPr>
              <w:t>1</w:t>
            </w:r>
          </w:p>
        </w:tc>
        <w:tc>
          <w:tcPr>
            <w:tcW w:type="dxa" w:w="3024"/>
          </w:tcPr>
          <w:p>
            <w:r>
              <w:rPr>
                <w:rFonts w:ascii="Times New Roman" w:hAnsi="Times New Roman"/>
                <w:sz w:val="19"/>
              </w:rPr>
              <w:t>X7V ideal coordinates</w:t>
            </w:r>
          </w:p>
        </w:tc>
      </w:tr>
      <w:tr>
        <w:tc>
          <w:tcPr>
            <w:tcW w:type="dxa" w:w="3024"/>
          </w:tcPr>
          <w:p>
            <w:r>
              <w:rPr>
                <w:rFonts w:ascii="Times New Roman" w:hAnsi="Times New Roman"/>
                <w:sz w:val="19"/>
              </w:rPr>
              <w:t>PubChem compound records</w:t>
            </w:r>
          </w:p>
        </w:tc>
        <w:tc>
          <w:tcPr>
            <w:tcW w:type="dxa" w:w="3024"/>
          </w:tcPr>
          <w:p>
            <w:r>
              <w:rPr>
                <w:rFonts w:ascii="Times New Roman" w:hAnsi="Times New Roman"/>
                <w:sz w:val="19"/>
              </w:rPr>
              <w:t>22</w:t>
            </w:r>
          </w:p>
        </w:tc>
        <w:tc>
          <w:tcPr>
            <w:tcW w:type="dxa" w:w="3024"/>
          </w:tcPr>
          <w:p>
            <w:r>
              <w:rPr>
                <w:rFonts w:ascii="Times New Roman" w:hAnsi="Times New Roman"/>
                <w:sz w:val="19"/>
              </w:rPr>
              <w:t>one per screened compound (properties + SMILES)</w:t>
            </w:r>
          </w:p>
        </w:tc>
      </w:tr>
      <w:tr>
        <w:tc>
          <w:tcPr>
            <w:tcW w:type="dxa" w:w="3024"/>
          </w:tcPr>
          <w:p>
            <w:r>
              <w:rPr>
                <w:rFonts w:ascii="Times New Roman" w:hAnsi="Times New Roman"/>
                <w:sz w:val="19"/>
              </w:rPr>
              <w:t>PubChem query sets</w:t>
            </w:r>
          </w:p>
        </w:tc>
        <w:tc>
          <w:tcPr>
            <w:tcW w:type="dxa" w:w="3024"/>
          </w:tcPr>
          <w:p>
            <w:r>
              <w:rPr>
                <w:rFonts w:ascii="Times New Roman" w:hAnsi="Times New Roman"/>
                <w:sz w:val="19"/>
              </w:rPr>
              <w:t>3</w:t>
            </w:r>
          </w:p>
        </w:tc>
        <w:tc>
          <w:tcPr>
            <w:tcW w:type="dxa" w:w="3024"/>
          </w:tcPr>
          <w:p>
            <w:r>
              <w:rPr>
                <w:rFonts w:ascii="Times New Roman" w:hAnsi="Times New Roman"/>
                <w:sz w:val="19"/>
              </w:rPr>
              <w:t>MPRO-D1 identity + 0.85/0.95 similarity neighborhoods</w:t>
            </w:r>
          </w:p>
        </w:tc>
      </w:tr>
      <w:tr>
        <w:tc>
          <w:tcPr>
            <w:tcW w:type="dxa" w:w="3024"/>
          </w:tcPr>
          <w:p>
            <w:r>
              <w:rPr>
                <w:rFonts w:ascii="Times New Roman" w:hAnsi="Times New Roman"/>
                <w:sz w:val="19"/>
              </w:rPr>
              <w:t>ChEMBL molecule records</w:t>
            </w:r>
          </w:p>
        </w:tc>
        <w:tc>
          <w:tcPr>
            <w:tcW w:type="dxa" w:w="3024"/>
          </w:tcPr>
          <w:p>
            <w:r>
              <w:rPr>
                <w:rFonts w:ascii="Times New Roman" w:hAnsi="Times New Roman"/>
                <w:sz w:val="19"/>
              </w:rPr>
              <w:t>22</w:t>
            </w:r>
          </w:p>
        </w:tc>
        <w:tc>
          <w:tcPr>
            <w:tcW w:type="dxa" w:w="3024"/>
          </w:tcPr>
          <w:p>
            <w:r>
              <w:rPr>
                <w:rFonts w:ascii="Times New Roman" w:hAnsi="Times New Roman"/>
                <w:sz w:val="19"/>
              </w:rPr>
              <w:t>one per screened compound</w:t>
            </w:r>
          </w:p>
        </w:tc>
      </w:tr>
      <w:tr>
        <w:tc>
          <w:tcPr>
            <w:tcW w:type="dxa" w:w="3024"/>
          </w:tcPr>
          <w:p>
            <w:r>
              <w:rPr>
                <w:rFonts w:ascii="Times New Roman" w:hAnsi="Times New Roman"/>
                <w:sz w:val="19"/>
              </w:rPr>
              <w:t>ChEMBL assay sets</w:t>
            </w:r>
          </w:p>
        </w:tc>
        <w:tc>
          <w:tcPr>
            <w:tcW w:type="dxa" w:w="3024"/>
          </w:tcPr>
          <w:p>
            <w:r>
              <w:rPr>
                <w:rFonts w:ascii="Times New Roman" w:hAnsi="Times New Roman"/>
                <w:sz w:val="19"/>
              </w:rPr>
              <w:t>65</w:t>
            </w:r>
          </w:p>
        </w:tc>
        <w:tc>
          <w:tcPr>
            <w:tcW w:type="dxa" w:w="3024"/>
          </w:tcPr>
          <w:p>
            <w:r>
              <w:rPr>
                <w:rFonts w:ascii="Times New Roman" w:hAnsi="Times New Roman"/>
                <w:sz w:val="19"/>
              </w:rPr>
              <w:t>sampled bioactivity assays anchoring labels</w:t>
            </w:r>
          </w:p>
        </w:tc>
      </w:tr>
      <w:tr>
        <w:tc>
          <w:tcPr>
            <w:tcW w:type="dxa" w:w="3024"/>
          </w:tcPr>
          <w:p>
            <w:r>
              <w:rPr>
                <w:rFonts w:ascii="Times New Roman" w:hAnsi="Times New Roman"/>
                <w:sz w:val="19"/>
              </w:rPr>
              <w:t>ChEMBL target records</w:t>
            </w:r>
          </w:p>
        </w:tc>
        <w:tc>
          <w:tcPr>
            <w:tcW w:type="dxa" w:w="3024"/>
          </w:tcPr>
          <w:p>
            <w:r>
              <w:rPr>
                <w:rFonts w:ascii="Times New Roman" w:hAnsi="Times New Roman"/>
                <w:sz w:val="19"/>
              </w:rPr>
              <w:t>1</w:t>
            </w:r>
          </w:p>
        </w:tc>
        <w:tc>
          <w:tcPr>
            <w:tcW w:type="dxa" w:w="3024"/>
          </w:tcPr>
          <w:p>
            <w:r>
              <w:rPr>
                <w:rFonts w:ascii="Times New Roman" w:hAnsi="Times New Roman"/>
                <w:sz w:val="19"/>
              </w:rPr>
              <w:t>Mpro target search hit</w:t>
            </w:r>
          </w:p>
        </w:tc>
      </w:tr>
      <w:tr>
        <w:tc>
          <w:tcPr>
            <w:tcW w:type="dxa" w:w="3024"/>
          </w:tcPr>
          <w:p>
            <w:r>
              <w:rPr>
                <w:rFonts w:ascii="Times New Roman" w:hAnsi="Times New Roman"/>
                <w:sz w:val="19"/>
              </w:rPr>
              <w:t>UniProt records</w:t>
            </w:r>
          </w:p>
        </w:tc>
        <w:tc>
          <w:tcPr>
            <w:tcW w:type="dxa" w:w="3024"/>
          </w:tcPr>
          <w:p>
            <w:r>
              <w:rPr>
                <w:rFonts w:ascii="Times New Roman" w:hAnsi="Times New Roman"/>
                <w:sz w:val="19"/>
              </w:rPr>
              <w:t>1</w:t>
            </w:r>
          </w:p>
        </w:tc>
        <w:tc>
          <w:tcPr>
            <w:tcW w:type="dxa" w:w="3024"/>
          </w:tcPr>
          <w:p>
            <w:r>
              <w:rPr>
                <w:rFonts w:ascii="Times New Roman" w:hAnsi="Times New Roman"/>
                <w:sz w:val="19"/>
              </w:rPr>
              <w:t>P0DTD1</w:t>
            </w:r>
          </w:p>
        </w:tc>
      </w:tr>
      <w:tr>
        <w:tc>
          <w:tcPr>
            <w:tcW w:type="dxa" w:w="3024"/>
          </w:tcPr>
          <w:p>
            <w:r>
              <w:rPr>
                <w:rFonts w:ascii="Times New Roman" w:hAnsi="Times New Roman"/>
                <w:sz w:val="19"/>
              </w:rPr>
              <w:t>Europe PMC literature sets</w:t>
            </w:r>
          </w:p>
        </w:tc>
        <w:tc>
          <w:tcPr>
            <w:tcW w:type="dxa" w:w="3024"/>
          </w:tcPr>
          <w:p>
            <w:r>
              <w:rPr>
                <w:rFonts w:ascii="Times New Roman" w:hAnsi="Times New Roman"/>
                <w:sz w:val="19"/>
              </w:rPr>
              <w:t>22</w:t>
            </w:r>
          </w:p>
        </w:tc>
        <w:tc>
          <w:tcPr>
            <w:tcW w:type="dxa" w:w="3024"/>
          </w:tcPr>
          <w:p>
            <w:r>
              <w:rPr>
                <w:rFonts w:ascii="Times New Roman" w:hAnsi="Times New Roman"/>
                <w:sz w:val="19"/>
              </w:rPr>
              <w:t>per-compound Mpro query result sets</w:t>
            </w:r>
          </w:p>
        </w:tc>
      </w:tr>
      <w:tr>
        <w:tc>
          <w:tcPr>
            <w:tcW w:type="dxa" w:w="3024"/>
          </w:tcPr>
          <w:p>
            <w:r>
              <w:rPr>
                <w:rFonts w:ascii="Times New Roman" w:hAnsi="Times New Roman"/>
                <w:sz w:val="19"/>
              </w:rPr>
              <w:t>ClinicalTrials.gov study sets</w:t>
            </w:r>
          </w:p>
        </w:tc>
        <w:tc>
          <w:tcPr>
            <w:tcW w:type="dxa" w:w="3024"/>
          </w:tcPr>
          <w:p>
            <w:r>
              <w:rPr>
                <w:rFonts w:ascii="Times New Roman" w:hAnsi="Times New Roman"/>
                <w:sz w:val="19"/>
              </w:rPr>
              <w:t>5</w:t>
            </w:r>
          </w:p>
        </w:tc>
        <w:tc>
          <w:tcPr>
            <w:tcW w:type="dxa" w:w="3024"/>
          </w:tcPr>
          <w:p>
            <w:r>
              <w:rPr>
                <w:rFonts w:ascii="Times New Roman" w:hAnsi="Times New Roman"/>
                <w:sz w:val="19"/>
              </w:rPr>
              <w:t>nirmatrelvir, remdesivir, molnupiravir, lopinavir, HCQ</w:t>
            </w:r>
          </w:p>
        </w:tc>
      </w:tr>
      <w:tr>
        <w:tc>
          <w:tcPr>
            <w:tcW w:type="dxa" w:w="3024"/>
          </w:tcPr>
          <w:p>
            <w:r>
              <w:rPr>
                <w:rFonts w:ascii="Times New Roman" w:hAnsi="Times New Roman"/>
                <w:sz w:val="19"/>
              </w:rPr>
              <w:t>AlphaFold models</w:t>
            </w:r>
          </w:p>
        </w:tc>
        <w:tc>
          <w:tcPr>
            <w:tcW w:type="dxa" w:w="3024"/>
          </w:tcPr>
          <w:p>
            <w:r>
              <w:rPr>
                <w:rFonts w:ascii="Times New Roman" w:hAnsi="Times New Roman"/>
                <w:sz w:val="19"/>
              </w:rPr>
              <w:t>1</w:t>
            </w:r>
          </w:p>
        </w:tc>
        <w:tc>
          <w:tcPr>
            <w:tcW w:type="dxa" w:w="3024"/>
          </w:tcPr>
          <w:p>
            <w:r>
              <w:rPr>
                <w:rFonts w:ascii="Times New Roman" w:hAnsi="Times New Roman"/>
                <w:sz w:val="19"/>
              </w:rPr>
              <w:t>P0DTD1 predicted model</w:t>
            </w:r>
          </w:p>
        </w:tc>
      </w:tr>
      <w:tr>
        <w:tc>
          <w:tcPr>
            <w:tcW w:type="dxa" w:w="3024"/>
          </w:tcPr>
          <w:p>
            <w:r>
              <w:rPr>
                <w:rFonts w:ascii="Times New Roman" w:hAnsi="Times New Roman"/>
                <w:sz w:val="19"/>
              </w:rPr>
              <w:t>CrossRef reference records</w:t>
            </w:r>
          </w:p>
        </w:tc>
        <w:tc>
          <w:tcPr>
            <w:tcW w:type="dxa" w:w="3024"/>
          </w:tcPr>
          <w:p>
            <w:r>
              <w:rPr>
                <w:rFonts w:ascii="Times New Roman" w:hAnsi="Times New Roman"/>
                <w:sz w:val="19"/>
              </w:rPr>
              <w:t>8</w:t>
            </w:r>
          </w:p>
        </w:tc>
        <w:tc>
          <w:tcPr>
            <w:tcW w:type="dxa" w:w="3024"/>
          </w:tcPr>
          <w:p>
            <w:r>
              <w:rPr>
                <w:rFonts w:ascii="Times New Roman" w:hAnsi="Times New Roman"/>
                <w:sz w:val="19"/>
              </w:rPr>
              <w:t>DOI-verified anchor references</w:t>
            </w:r>
          </w:p>
        </w:tc>
      </w:tr>
      <w:tr>
        <w:tc>
          <w:tcPr>
            <w:tcW w:type="dxa" w:w="3024"/>
          </w:tcPr>
          <w:p>
            <w:r>
              <w:rPr>
                <w:rFonts w:ascii="Times New Roman" w:hAnsi="Times New Roman"/>
                <w:sz w:val="19"/>
              </w:rPr>
              <w:t>PubMed query sets</w:t>
            </w:r>
          </w:p>
        </w:tc>
        <w:tc>
          <w:tcPr>
            <w:tcW w:type="dxa" w:w="3024"/>
          </w:tcPr>
          <w:p>
            <w:r>
              <w:rPr>
                <w:rFonts w:ascii="Times New Roman" w:hAnsi="Times New Roman"/>
                <w:sz w:val="19"/>
              </w:rPr>
              <w:t>1</w:t>
            </w:r>
          </w:p>
        </w:tc>
        <w:tc>
          <w:tcPr>
            <w:tcW w:type="dxa" w:w="3024"/>
          </w:tcPr>
          <w:p>
            <w:r>
              <w:rPr>
                <w:rFonts w:ascii="Times New Roman" w:hAnsi="Times New Roman"/>
                <w:sz w:val="19"/>
              </w:rPr>
              <w:t>Mpro docking field-size count</w:t>
            </w:r>
          </w:p>
        </w:tc>
      </w:tr>
      <w:tr>
        <w:tc>
          <w:tcPr>
            <w:tcW w:type="dxa" w:w="3024"/>
          </w:tcPr>
          <w:p>
            <w:r>
              <w:rPr>
                <w:rFonts w:ascii="Times New Roman" w:hAnsi="Times New Roman"/>
                <w:sz w:val="19"/>
              </w:rPr>
              <w:t>Literature assay-label papers</w:t>
            </w:r>
          </w:p>
        </w:tc>
        <w:tc>
          <w:tcPr>
            <w:tcW w:type="dxa" w:w="3024"/>
          </w:tcPr>
          <w:p>
            <w:r>
              <w:rPr>
                <w:rFonts w:ascii="Times New Roman" w:hAnsi="Times New Roman"/>
                <w:sz w:val="19"/>
              </w:rPr>
              <w:t>8</w:t>
            </w:r>
          </w:p>
        </w:tc>
        <w:tc>
          <w:tcPr>
            <w:tcW w:type="dxa" w:w="3024"/>
          </w:tcPr>
          <w:p>
            <w:r>
              <w:rPr>
                <w:rFonts w:ascii="Times New Roman" w:hAnsi="Times New Roman"/>
                <w:sz w:val="19"/>
              </w:rPr>
              <w:t>published Mpro assay sources for the labels</w:t>
            </w:r>
          </w:p>
        </w:tc>
      </w:tr>
      <w:tr>
        <w:tc>
          <w:tcPr>
            <w:tcW w:type="dxa" w:w="3024"/>
          </w:tcPr>
          <w:p>
            <w:r>
              <w:rPr>
                <w:rFonts w:ascii="Times New Roman" w:hAnsi="Times New Roman"/>
                <w:sz w:val="19"/>
              </w:rPr>
              <w:t>ChEMBL Mpro label-set records</w:t>
            </w:r>
          </w:p>
        </w:tc>
        <w:tc>
          <w:tcPr>
            <w:tcW w:type="dxa" w:w="3024"/>
          </w:tcPr>
          <w:p>
            <w:r>
              <w:rPr>
                <w:rFonts w:ascii="Times New Roman" w:hAnsi="Times New Roman"/>
                <w:sz w:val="19"/>
              </w:rPr>
              <w:t>347</w:t>
            </w:r>
          </w:p>
        </w:tc>
        <w:tc>
          <w:tcPr>
            <w:tcW w:type="dxa" w:w="3024"/>
          </w:tcPr>
          <w:p>
            <w:r>
              <w:rPr>
                <w:rFonts w:ascii="Times New Roman" w:hAnsi="Times New Roman"/>
                <w:sz w:val="19"/>
              </w:rPr>
              <w:t>3CL/main-protease FRET IC50 compound records (chembl_label_set.json)</w:t>
            </w:r>
          </w:p>
        </w:tc>
      </w:tr>
      <w:tr>
        <w:tc>
          <w:tcPr>
            <w:tcW w:type="dxa" w:w="3024"/>
          </w:tcPr>
          <w:p>
            <w:r>
              <w:rPr>
                <w:rFonts w:ascii="Times New Roman" w:hAnsi="Times New Roman"/>
                <w:sz w:val="19"/>
              </w:rPr>
              <w:t>ChEMBL label-set assay sets</w:t>
            </w:r>
          </w:p>
        </w:tc>
        <w:tc>
          <w:tcPr>
            <w:tcW w:type="dxa" w:w="3024"/>
          </w:tcPr>
          <w:p>
            <w:r>
              <w:rPr>
                <w:rFonts w:ascii="Times New Roman" w:hAnsi="Times New Roman"/>
                <w:sz w:val="19"/>
              </w:rPr>
              <w:t>60+</w:t>
            </w:r>
          </w:p>
        </w:tc>
        <w:tc>
          <w:tcPr>
            <w:tcW w:type="dxa" w:w="3024"/>
          </w:tcPr>
          <w:p>
            <w:r>
              <w:rPr>
                <w:rFonts w:ascii="Times New Roman" w:hAnsi="Times New Roman"/>
                <w:sz w:val="19"/>
              </w:rPr>
              <w:t>distinct FRET assay sets behind the 472 activity rows</w:t>
            </w:r>
          </w:p>
        </w:tc>
      </w:tr>
      <w:tr>
        <w:tc>
          <w:tcPr>
            <w:tcW w:type="dxa" w:w="3024"/>
          </w:tcPr>
          <w:p>
            <w:r>
              <w:rPr>
                <w:rFonts w:ascii="Times New Roman" w:hAnsi="Times New Roman"/>
                <w:sz w:val="19"/>
              </w:rPr>
              <w:t>TOTAL</w:t>
            </w:r>
          </w:p>
        </w:tc>
        <w:tc>
          <w:tcPr>
            <w:tcW w:type="dxa" w:w="3024"/>
          </w:tcPr>
          <w:p>
            <w:r>
              <w:rPr>
                <w:rFonts w:ascii="Times New Roman" w:hAnsi="Times New Roman"/>
                <w:sz w:val="19"/>
              </w:rPr>
              <w:t>580+</w:t>
            </w:r>
          </w:p>
        </w:tc>
        <w:tc>
          <w:tcPr>
            <w:tcW w:type="dxa" w:w="3024"/>
          </w:tcPr>
          <w:p>
            <w:r>
              <w:rPr>
                <w:rFonts w:ascii="Times New Roman" w:hAnsi="Times New Roman"/>
                <w:sz w:val="19"/>
              </w:rPr>
            </w:r>
          </w:p>
        </w:tc>
      </w:tr>
    </w:tbl>
    <w:p>
      <w:r>
        <w:rPr>
          <w:rFonts w:ascii="Times New Roman" w:hAnsi="Times New Roman"/>
          <w:b w:val="0"/>
          <w:i w:val="0"/>
        </w:rPr>
        <w:t>Generated records (not counted above): 22 per-ligand dock result sets (110 poses), 38 de novo candidate records (190 poses), redock record, analysis record, verification records. These are outputs of this study, archived in results/, and regenerate from the shipped studies.</w:t>
      </w:r>
    </w:p>
    <w:p>
      <w:r>
        <w:br w:type="page"/>
      </w:r>
    </w:p>
    <w:p>
      <w:pPr>
        <w:pStyle w:val="Heading1"/>
        <w:pBdr>
          <w:bottom w:val="single" w:sz="12" w:space="4" w:color="1F4E9C"/>
        </w:pBdr>
      </w:pPr>
      <w:r>
        <w:rPr>
          <w:rFonts w:ascii="Times New Roman" w:hAnsi="Times New Roman"/>
          <w:color w:val="1F4E9C"/>
        </w:rPr>
        <w:t>Appendix L. The Mpro Pocket, Chemically</w:t>
      </w:r>
    </w:p>
    <w:p>
      <w:r>
        <w:rPr>
          <w:rFonts w:ascii="Times New Roman" w:hAnsi="Times New Roman"/>
          <w:b w:val="0"/>
          <w:i w:val="0"/>
        </w:rPr>
        <w:t>Mpro is a cysteine protease with a Cys145-His41 catalytic dyad sitting between domains I and II. The substrate-binding cleft decomposes into subpockets S1', S1, S2 and S4, each with a distinct chemical personality that any docking protocol must reproduce to rank plausibly. S1' is small and polar (Thr25, Thr26, His41); S1 is the specificity pocket with the His163-Glu166 pair that anchors the glutamine-mimetic warheads of the clinical inhibitors; S2 is a deep hydrophobic bowl walled by His41, Met49 and Met165; S4 is shallow and solvent-exposed. JUN8-76-3A, our redocking reference, is non-covalent: it wins the pocket purely by shape and hydrogen-bond complementarity, which is precisely what an empirical scoring function should see - the reason 7KX5 was chosen over a covalent deposit.</w:t>
      </w:r>
    </w:p>
    <w:p>
      <w:r>
        <w:rPr>
          <w:rFonts w:ascii="Times New Roman" w:hAnsi="Times New Roman"/>
          <w:b w:val="0"/>
          <w:i w:val="0"/>
        </w:rPr>
        <w:t>The honest-negative result of Section 3.2 has a chemical reading as well. Several literature actives (carmofur, disulfiram, ebselen) are covalent warheads whose true potency derives from bond formation with Cys145 - a term Vina does not model. Their dock ranks reflect scaffold complementarity alone, which scrambles the active/inactive ordering the labels encode. The pose-graph GNN partly sidesteps this: the contact pattern of a warhead poised near Cys145 is itself a learnable signal even when the bond is not formed in silico. This is a hypothesis, stated as such, and it predicts that the GNN's advantage should shrink on a purely non-covalent label set - a falsifiable extension listed in Appendix H.</w:t>
      </w:r>
    </w:p>
    <w:p>
      <w:pPr>
        <w:pStyle w:val="Heading1"/>
        <w:pBdr>
          <w:bottom w:val="single" w:sz="12" w:space="4" w:color="1F4E9C"/>
        </w:pBdr>
      </w:pPr>
      <w:r>
        <w:rPr>
          <w:rFonts w:ascii="Times New Roman" w:hAnsi="Times New Roman"/>
          <w:color w:val="1F4E9C"/>
        </w:rPr>
        <w:t>Appendix M. De Novo Library Design Rationale</w:t>
      </w:r>
    </w:p>
    <w:p>
      <w:r>
        <w:rPr>
          <w:rFonts w:ascii="Times New Roman" w:hAnsi="Times New Roman"/>
          <w:b w:val="0"/>
          <w:i w:val="0"/>
        </w:rPr>
        <w:t>The 38-candidate library was not sampled blindly. Non-covalent Mpro inhibitors share a grammar: an amide or lactam that mimics the scissile peptide, a biaryl or heteroaryl that fills S2, and a hydrogen-bond donor/acceptor cap for S1'. The enumerator combines cores (biphenyl-amide, pyridyl-amide, naphthyl-amide, benzyl-furamide and homologs) with caps (primary amide, hydroxamate, nitrile, fluoro/chloro aromatics) inside a complexity budget (rotatable bonds &lt;= 8, MW &lt;= 500) so that every candidate remains synthesizable. Each of the 38 was docked under the validated protocol with five poses; the ranking in Table 3 is by affinity with ligand efficiency and complexity as tie-breakers, and Tanimoto distance to the screened drugs as the novelty axis. MPRO-D1 wins on the combined criterion: top affinity with the best efficiency and a 0.84 distance from the nearest screened drug.</w:t>
      </w:r>
    </w:p>
    <w:p>
      <w:r>
        <w:rPr>
          <w:rFonts w:ascii="Times New Roman" w:hAnsi="Times New Roman"/>
          <w:b w:val="0"/>
          <w:i/>
        </w:rPr>
        <w:t>Table M1. MPRO-D1 and runners-up, full records.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fill="DCE6F1"/>
          </w:tcPr>
          <w:p>
            <w:r>
              <w:rPr>
                <w:rFonts w:ascii="Times New Roman" w:hAnsi="Times New Roman"/>
                <w:b/>
                <w:sz w:val="19"/>
              </w:rPr>
              <w:t>rank</w:t>
            </w:r>
          </w:p>
        </w:tc>
        <w:tc>
          <w:tcPr>
            <w:tcW w:type="dxa" w:w="1814"/>
            <w:shd w:val="clear" w:fill="DCE6F1"/>
          </w:tcPr>
          <w:p>
            <w:r>
              <w:rPr>
                <w:rFonts w:ascii="Times New Roman" w:hAnsi="Times New Roman"/>
                <w:b/>
                <w:sz w:val="19"/>
              </w:rPr>
              <w:t>core</w:t>
            </w:r>
          </w:p>
        </w:tc>
        <w:tc>
          <w:tcPr>
            <w:tcW w:type="dxa" w:w="1814"/>
            <w:shd w:val="clear" w:fill="DCE6F1"/>
          </w:tcPr>
          <w:p>
            <w:r>
              <w:rPr>
                <w:rFonts w:ascii="Times New Roman" w:hAnsi="Times New Roman"/>
                <w:b/>
                <w:sz w:val="19"/>
              </w:rPr>
              <w:t>SMILES (truncated)</w:t>
            </w:r>
          </w:p>
        </w:tc>
        <w:tc>
          <w:tcPr>
            <w:tcW w:type="dxa" w:w="1814"/>
            <w:shd w:val="clear" w:fill="DCE6F1"/>
          </w:tcPr>
          <w:p>
            <w:r>
              <w:rPr>
                <w:rFonts w:ascii="Times New Roman" w:hAnsi="Times New Roman"/>
                <w:b/>
                <w:sz w:val="19"/>
              </w:rPr>
              <w:t>affinity</w:t>
            </w:r>
          </w:p>
        </w:tc>
        <w:tc>
          <w:tcPr>
            <w:tcW w:type="dxa" w:w="1814"/>
            <w:shd w:val="clear" w:fill="DCE6F1"/>
          </w:tcPr>
          <w:p>
            <w:r>
              <w:rPr>
                <w:rFonts w:ascii="Times New Roman" w:hAnsi="Times New Roman"/>
                <w:b/>
                <w:sz w:val="19"/>
              </w:rPr>
              <w:t>Tanimoto max</w:t>
            </w:r>
          </w:p>
        </w:tc>
      </w:tr>
      <w:tr>
        <w:tc>
          <w:tcPr>
            <w:tcW w:type="dxa" w:w="1814"/>
          </w:tcPr>
          <w:p>
            <w:r>
              <w:rPr>
                <w:rFonts w:ascii="Times New Roman" w:hAnsi="Times New Roman"/>
                <w:sz w:val="19"/>
              </w:rPr>
              <w:t>#1</w:t>
            </w:r>
          </w:p>
        </w:tc>
        <w:tc>
          <w:tcPr>
            <w:tcW w:type="dxa" w:w="1814"/>
          </w:tcPr>
          <w:p>
            <w:r>
              <w:rPr>
                <w:rFonts w:ascii="Times New Roman" w:hAnsi="Times New Roman"/>
                <w:sz w:val="19"/>
              </w:rPr>
              <w:t>biphenyl_amide</w:t>
            </w:r>
          </w:p>
        </w:tc>
        <w:tc>
          <w:tcPr>
            <w:tcW w:type="dxa" w:w="1814"/>
          </w:tcPr>
          <w:p>
            <w:r>
              <w:rPr>
                <w:rFonts w:ascii="Times New Roman" w:hAnsi="Times New Roman"/>
                <w:sz w:val="19"/>
              </w:rPr>
              <w:t>NC(=O)C(c1ccccc1)N(C(=O)c1ccc(Cl)cc1)c1ccc(-c2cc</w:t>
            </w:r>
          </w:p>
        </w:tc>
        <w:tc>
          <w:tcPr>
            <w:tcW w:type="dxa" w:w="1814"/>
          </w:tcPr>
          <w:p>
            <w:r>
              <w:rPr>
                <w:rFonts w:ascii="Times New Roman" w:hAnsi="Times New Roman"/>
                <w:sz w:val="19"/>
              </w:rPr>
              <w:t>-8.76</w:t>
            </w:r>
          </w:p>
        </w:tc>
        <w:tc>
          <w:tcPr>
            <w:tcW w:type="dxa" w:w="1814"/>
          </w:tcPr>
          <w:p>
            <w:r>
              <w:rPr>
                <w:rFonts w:ascii="Times New Roman" w:hAnsi="Times New Roman"/>
                <w:sz w:val="19"/>
              </w:rPr>
              <w:t>0.159</w:t>
            </w:r>
          </w:p>
        </w:tc>
      </w:tr>
      <w:tr>
        <w:tc>
          <w:tcPr>
            <w:tcW w:type="dxa" w:w="1814"/>
          </w:tcPr>
          <w:p>
            <w:r>
              <w:rPr>
                <w:rFonts w:ascii="Times New Roman" w:hAnsi="Times New Roman"/>
                <w:sz w:val="19"/>
              </w:rPr>
              <w:t>#2</w:t>
            </w:r>
          </w:p>
        </w:tc>
        <w:tc>
          <w:tcPr>
            <w:tcW w:type="dxa" w:w="1814"/>
          </w:tcPr>
          <w:p>
            <w:r>
              <w:rPr>
                <w:rFonts w:ascii="Times New Roman" w:hAnsi="Times New Roman"/>
                <w:sz w:val="19"/>
              </w:rPr>
              <w:t>pyridyl_amide</w:t>
            </w:r>
          </w:p>
        </w:tc>
        <w:tc>
          <w:tcPr>
            <w:tcW w:type="dxa" w:w="1814"/>
          </w:tcPr>
          <w:p>
            <w:r>
              <w:rPr>
                <w:rFonts w:ascii="Times New Roman" w:hAnsi="Times New Roman"/>
                <w:sz w:val="19"/>
              </w:rPr>
              <w:t>NC(=O)C(c1cccnc1)N(C(=O)c1ccc(F)cc1)c1ccc(-c2ccc</w:t>
            </w:r>
          </w:p>
        </w:tc>
        <w:tc>
          <w:tcPr>
            <w:tcW w:type="dxa" w:w="1814"/>
          </w:tcPr>
          <w:p>
            <w:r>
              <w:rPr>
                <w:rFonts w:ascii="Times New Roman" w:hAnsi="Times New Roman"/>
                <w:sz w:val="19"/>
              </w:rPr>
              <w:t>-8.57</w:t>
            </w:r>
          </w:p>
        </w:tc>
        <w:tc>
          <w:tcPr>
            <w:tcW w:type="dxa" w:w="1814"/>
          </w:tcPr>
          <w:p>
            <w:r>
              <w:rPr>
                <w:rFonts w:ascii="Times New Roman" w:hAnsi="Times New Roman"/>
                <w:sz w:val="19"/>
              </w:rPr>
              <w:t>0.194</w:t>
            </w:r>
          </w:p>
        </w:tc>
      </w:tr>
      <w:tr>
        <w:tc>
          <w:tcPr>
            <w:tcW w:type="dxa" w:w="1814"/>
          </w:tcPr>
          <w:p>
            <w:r>
              <w:rPr>
                <w:rFonts w:ascii="Times New Roman" w:hAnsi="Times New Roman"/>
                <w:sz w:val="19"/>
              </w:rPr>
              <w:t>#3</w:t>
            </w:r>
          </w:p>
        </w:tc>
        <w:tc>
          <w:tcPr>
            <w:tcW w:type="dxa" w:w="1814"/>
          </w:tcPr>
          <w:p>
            <w:r>
              <w:rPr>
                <w:rFonts w:ascii="Times New Roman" w:hAnsi="Times New Roman"/>
                <w:sz w:val="19"/>
              </w:rPr>
              <w:t>naphthyl_amide</w:t>
            </w:r>
          </w:p>
        </w:tc>
        <w:tc>
          <w:tcPr>
            <w:tcW w:type="dxa" w:w="1814"/>
          </w:tcPr>
          <w:p>
            <w:r>
              <w:rPr>
                <w:rFonts w:ascii="Times New Roman" w:hAnsi="Times New Roman"/>
                <w:sz w:val="19"/>
              </w:rPr>
              <w:t>O=C(NC(Cc1ccccc1)c1ccc2ccccc2c1)c1ccco1</w:t>
            </w:r>
          </w:p>
        </w:tc>
        <w:tc>
          <w:tcPr>
            <w:tcW w:type="dxa" w:w="1814"/>
          </w:tcPr>
          <w:p>
            <w:r>
              <w:rPr>
                <w:rFonts w:ascii="Times New Roman" w:hAnsi="Times New Roman"/>
                <w:sz w:val="19"/>
              </w:rPr>
              <w:t>-8.37</w:t>
            </w:r>
          </w:p>
        </w:tc>
        <w:tc>
          <w:tcPr>
            <w:tcW w:type="dxa" w:w="1814"/>
          </w:tcPr>
          <w:p>
            <w:r>
              <w:rPr>
                <w:rFonts w:ascii="Times New Roman" w:hAnsi="Times New Roman"/>
                <w:sz w:val="19"/>
              </w:rPr>
              <w:t>0.216</w:t>
            </w:r>
          </w:p>
        </w:tc>
      </w:tr>
      <w:tr>
        <w:tc>
          <w:tcPr>
            <w:tcW w:type="dxa" w:w="1814"/>
          </w:tcPr>
          <w:p>
            <w:r>
              <w:rPr>
                <w:rFonts w:ascii="Times New Roman" w:hAnsi="Times New Roman"/>
                <w:sz w:val="19"/>
              </w:rPr>
              <w:t>#4</w:t>
            </w:r>
          </w:p>
        </w:tc>
        <w:tc>
          <w:tcPr>
            <w:tcW w:type="dxa" w:w="1814"/>
          </w:tcPr>
          <w:p>
            <w:r>
              <w:rPr>
                <w:rFonts w:ascii="Times New Roman" w:hAnsi="Times New Roman"/>
                <w:sz w:val="19"/>
              </w:rPr>
              <w:t>biphenyl_amide</w:t>
            </w:r>
          </w:p>
        </w:tc>
        <w:tc>
          <w:tcPr>
            <w:tcW w:type="dxa" w:w="1814"/>
          </w:tcPr>
          <w:p>
            <w:r>
              <w:rPr>
                <w:rFonts w:ascii="Times New Roman" w:hAnsi="Times New Roman"/>
                <w:sz w:val="19"/>
              </w:rPr>
              <w:t>NC(=O)C(c1ccccc1)N(C(=O)c1ccc(F)cc1)c1ccc(-c2ccc</w:t>
            </w:r>
          </w:p>
        </w:tc>
        <w:tc>
          <w:tcPr>
            <w:tcW w:type="dxa" w:w="1814"/>
          </w:tcPr>
          <w:p>
            <w:r>
              <w:rPr>
                <w:rFonts w:ascii="Times New Roman" w:hAnsi="Times New Roman"/>
                <w:sz w:val="19"/>
              </w:rPr>
              <w:t>-8.36</w:t>
            </w:r>
          </w:p>
        </w:tc>
        <w:tc>
          <w:tcPr>
            <w:tcW w:type="dxa" w:w="1814"/>
          </w:tcPr>
          <w:p>
            <w:r>
              <w:rPr>
                <w:rFonts w:ascii="Times New Roman" w:hAnsi="Times New Roman"/>
                <w:sz w:val="19"/>
              </w:rPr>
              <w:t>0.161</w:t>
            </w:r>
          </w:p>
        </w:tc>
      </w:tr>
      <w:tr>
        <w:tc>
          <w:tcPr>
            <w:tcW w:type="dxa" w:w="1814"/>
          </w:tcPr>
          <w:p>
            <w:r>
              <w:rPr>
                <w:rFonts w:ascii="Times New Roman" w:hAnsi="Times New Roman"/>
                <w:sz w:val="19"/>
              </w:rPr>
              <w:t>#5</w:t>
            </w:r>
          </w:p>
        </w:tc>
        <w:tc>
          <w:tcPr>
            <w:tcW w:type="dxa" w:w="1814"/>
          </w:tcPr>
          <w:p>
            <w:r>
              <w:rPr>
                <w:rFonts w:ascii="Times New Roman" w:hAnsi="Times New Roman"/>
                <w:sz w:val="19"/>
              </w:rPr>
              <w:t>naphthyl_amide</w:t>
            </w:r>
          </w:p>
        </w:tc>
        <w:tc>
          <w:tcPr>
            <w:tcW w:type="dxa" w:w="1814"/>
          </w:tcPr>
          <w:p>
            <w:r>
              <w:rPr>
                <w:rFonts w:ascii="Times New Roman" w:hAnsi="Times New Roman"/>
                <w:sz w:val="19"/>
              </w:rPr>
              <w:t>O=C(NC(c1ccc(Cl)cc1)c1ccc2ccccc2c1)c1ccco1</w:t>
            </w:r>
          </w:p>
        </w:tc>
        <w:tc>
          <w:tcPr>
            <w:tcW w:type="dxa" w:w="1814"/>
          </w:tcPr>
          <w:p>
            <w:r>
              <w:rPr>
                <w:rFonts w:ascii="Times New Roman" w:hAnsi="Times New Roman"/>
                <w:sz w:val="19"/>
              </w:rPr>
              <w:t>-8.27</w:t>
            </w:r>
          </w:p>
        </w:tc>
        <w:tc>
          <w:tcPr>
            <w:tcW w:type="dxa" w:w="1814"/>
          </w:tcPr>
          <w:p>
            <w:r>
              <w:rPr>
                <w:rFonts w:ascii="Times New Roman" w:hAnsi="Times New Roman"/>
                <w:sz w:val="19"/>
              </w:rPr>
              <w:t>0.167</w:t>
            </w:r>
          </w:p>
        </w:tc>
      </w:tr>
      <w:tr>
        <w:tc>
          <w:tcPr>
            <w:tcW w:type="dxa" w:w="1814"/>
          </w:tcPr>
          <w:p>
            <w:r>
              <w:rPr>
                <w:rFonts w:ascii="Times New Roman" w:hAnsi="Times New Roman"/>
                <w:sz w:val="19"/>
              </w:rPr>
              <w:t>#6</w:t>
            </w:r>
          </w:p>
        </w:tc>
        <w:tc>
          <w:tcPr>
            <w:tcW w:type="dxa" w:w="1814"/>
          </w:tcPr>
          <w:p>
            <w:r>
              <w:rPr>
                <w:rFonts w:ascii="Times New Roman" w:hAnsi="Times New Roman"/>
                <w:sz w:val="19"/>
              </w:rPr>
              <w:t>biphenyl_amide</w:t>
            </w:r>
          </w:p>
        </w:tc>
        <w:tc>
          <w:tcPr>
            <w:tcW w:type="dxa" w:w="1814"/>
          </w:tcPr>
          <w:p>
            <w:r>
              <w:rPr>
                <w:rFonts w:ascii="Times New Roman" w:hAnsi="Times New Roman"/>
                <w:sz w:val="19"/>
              </w:rPr>
              <w:t>NC(=O)C(c1ccccc1)N(C(=O)COc1ccccc1)c1ccc(-c2cccc</w:t>
            </w:r>
          </w:p>
        </w:tc>
        <w:tc>
          <w:tcPr>
            <w:tcW w:type="dxa" w:w="1814"/>
          </w:tcPr>
          <w:p>
            <w:r>
              <w:rPr>
                <w:rFonts w:ascii="Times New Roman" w:hAnsi="Times New Roman"/>
                <w:sz w:val="19"/>
              </w:rPr>
              <w:t>-8.23</w:t>
            </w:r>
          </w:p>
        </w:tc>
        <w:tc>
          <w:tcPr>
            <w:tcW w:type="dxa" w:w="1814"/>
          </w:tcPr>
          <w:p>
            <w:r>
              <w:rPr>
                <w:rFonts w:ascii="Times New Roman" w:hAnsi="Times New Roman"/>
                <w:sz w:val="19"/>
              </w:rPr>
              <w:t>0.198</w:t>
            </w:r>
          </w:p>
        </w:tc>
      </w:tr>
      <w:tr>
        <w:tc>
          <w:tcPr>
            <w:tcW w:type="dxa" w:w="1814"/>
          </w:tcPr>
          <w:p>
            <w:r>
              <w:rPr>
                <w:rFonts w:ascii="Times New Roman" w:hAnsi="Times New Roman"/>
                <w:sz w:val="19"/>
              </w:rPr>
              <w:t>#7</w:t>
            </w:r>
          </w:p>
        </w:tc>
        <w:tc>
          <w:tcPr>
            <w:tcW w:type="dxa" w:w="1814"/>
          </w:tcPr>
          <w:p>
            <w:r>
              <w:rPr>
                <w:rFonts w:ascii="Times New Roman" w:hAnsi="Times New Roman"/>
                <w:sz w:val="19"/>
              </w:rPr>
              <w:t>naphthyl_amide</w:t>
            </w:r>
          </w:p>
        </w:tc>
        <w:tc>
          <w:tcPr>
            <w:tcW w:type="dxa" w:w="1814"/>
          </w:tcPr>
          <w:p>
            <w:r>
              <w:rPr>
                <w:rFonts w:ascii="Times New Roman" w:hAnsi="Times New Roman"/>
                <w:sz w:val="19"/>
              </w:rPr>
              <w:t>O=C(NC(c1ccncc1)c1ccc2ccccc2c1)c1ccco1</w:t>
            </w:r>
          </w:p>
        </w:tc>
        <w:tc>
          <w:tcPr>
            <w:tcW w:type="dxa" w:w="1814"/>
          </w:tcPr>
          <w:p>
            <w:r>
              <w:rPr>
                <w:rFonts w:ascii="Times New Roman" w:hAnsi="Times New Roman"/>
                <w:sz w:val="19"/>
              </w:rPr>
              <w:t>-8.21</w:t>
            </w:r>
          </w:p>
        </w:tc>
        <w:tc>
          <w:tcPr>
            <w:tcW w:type="dxa" w:w="1814"/>
          </w:tcPr>
          <w:p>
            <w:r>
              <w:rPr>
                <w:rFonts w:ascii="Times New Roman" w:hAnsi="Times New Roman"/>
                <w:sz w:val="19"/>
              </w:rPr>
              <w:t>0.180</w:t>
            </w:r>
          </w:p>
        </w:tc>
      </w:tr>
      <w:tr>
        <w:tc>
          <w:tcPr>
            <w:tcW w:type="dxa" w:w="1814"/>
          </w:tcPr>
          <w:p>
            <w:r>
              <w:rPr>
                <w:rFonts w:ascii="Times New Roman" w:hAnsi="Times New Roman"/>
                <w:sz w:val="19"/>
              </w:rPr>
              <w:t>#8</w:t>
            </w:r>
          </w:p>
        </w:tc>
        <w:tc>
          <w:tcPr>
            <w:tcW w:type="dxa" w:w="1814"/>
          </w:tcPr>
          <w:p>
            <w:r>
              <w:rPr>
                <w:rFonts w:ascii="Times New Roman" w:hAnsi="Times New Roman"/>
                <w:sz w:val="19"/>
              </w:rPr>
              <w:t>pyridyl_amide</w:t>
            </w:r>
          </w:p>
        </w:tc>
        <w:tc>
          <w:tcPr>
            <w:tcW w:type="dxa" w:w="1814"/>
          </w:tcPr>
          <w:p>
            <w:r>
              <w:rPr>
                <w:rFonts w:ascii="Times New Roman" w:hAnsi="Times New Roman"/>
                <w:sz w:val="19"/>
              </w:rPr>
              <w:t>NC(=O)C(c1cccnc1)N(C(=O)c1ccc(Cl)cc1)c1ccc(-c2cc</w:t>
            </w:r>
          </w:p>
        </w:tc>
        <w:tc>
          <w:tcPr>
            <w:tcW w:type="dxa" w:w="1814"/>
          </w:tcPr>
          <w:p>
            <w:r>
              <w:rPr>
                <w:rFonts w:ascii="Times New Roman" w:hAnsi="Times New Roman"/>
                <w:sz w:val="19"/>
              </w:rPr>
              <w:t>-8.19</w:t>
            </w:r>
          </w:p>
        </w:tc>
        <w:tc>
          <w:tcPr>
            <w:tcW w:type="dxa" w:w="1814"/>
          </w:tcPr>
          <w:p>
            <w:r>
              <w:rPr>
                <w:rFonts w:ascii="Times New Roman" w:hAnsi="Times New Roman"/>
                <w:sz w:val="19"/>
              </w:rPr>
              <w:t>0.202</w:t>
            </w:r>
          </w:p>
        </w:tc>
      </w:tr>
      <w:tr>
        <w:tc>
          <w:tcPr>
            <w:tcW w:type="dxa" w:w="1814"/>
          </w:tcPr>
          <w:p>
            <w:r>
              <w:rPr>
                <w:rFonts w:ascii="Times New Roman" w:hAnsi="Times New Roman"/>
                <w:sz w:val="19"/>
              </w:rPr>
              <w:t>#9</w:t>
            </w:r>
          </w:p>
        </w:tc>
        <w:tc>
          <w:tcPr>
            <w:tcW w:type="dxa" w:w="1814"/>
          </w:tcPr>
          <w:p>
            <w:r>
              <w:rPr>
                <w:rFonts w:ascii="Times New Roman" w:hAnsi="Times New Roman"/>
                <w:sz w:val="19"/>
              </w:rPr>
              <w:t>naphthyl_amide</w:t>
            </w:r>
          </w:p>
        </w:tc>
        <w:tc>
          <w:tcPr>
            <w:tcW w:type="dxa" w:w="1814"/>
          </w:tcPr>
          <w:p>
            <w:r>
              <w:rPr>
                <w:rFonts w:ascii="Times New Roman" w:hAnsi="Times New Roman"/>
                <w:sz w:val="19"/>
              </w:rPr>
              <w:t>O=C(NC(c1ccccc1)c1ccc2ccccc2c1)c1ccco1</w:t>
            </w:r>
          </w:p>
        </w:tc>
        <w:tc>
          <w:tcPr>
            <w:tcW w:type="dxa" w:w="1814"/>
          </w:tcPr>
          <w:p>
            <w:r>
              <w:rPr>
                <w:rFonts w:ascii="Times New Roman" w:hAnsi="Times New Roman"/>
                <w:sz w:val="19"/>
              </w:rPr>
              <w:t>-8.19</w:t>
            </w:r>
          </w:p>
        </w:tc>
        <w:tc>
          <w:tcPr>
            <w:tcW w:type="dxa" w:w="1814"/>
          </w:tcPr>
          <w:p>
            <w:r>
              <w:rPr>
                <w:rFonts w:ascii="Times New Roman" w:hAnsi="Times New Roman"/>
                <w:sz w:val="19"/>
              </w:rPr>
              <w:t>0.184</w:t>
            </w:r>
          </w:p>
        </w:tc>
      </w:tr>
      <w:tr>
        <w:tc>
          <w:tcPr>
            <w:tcW w:type="dxa" w:w="1814"/>
          </w:tcPr>
          <w:p>
            <w:r>
              <w:rPr>
                <w:rFonts w:ascii="Times New Roman" w:hAnsi="Times New Roman"/>
                <w:sz w:val="19"/>
              </w:rPr>
              <w:t>#10</w:t>
            </w:r>
          </w:p>
        </w:tc>
        <w:tc>
          <w:tcPr>
            <w:tcW w:type="dxa" w:w="1814"/>
          </w:tcPr>
          <w:p>
            <w:r>
              <w:rPr>
                <w:rFonts w:ascii="Times New Roman" w:hAnsi="Times New Roman"/>
                <w:sz w:val="19"/>
              </w:rPr>
              <w:t>naphthyl_amide</w:t>
            </w:r>
          </w:p>
        </w:tc>
        <w:tc>
          <w:tcPr>
            <w:tcW w:type="dxa" w:w="1814"/>
          </w:tcPr>
          <w:p>
            <w:r>
              <w:rPr>
                <w:rFonts w:ascii="Times New Roman" w:hAnsi="Times New Roman"/>
                <w:sz w:val="19"/>
              </w:rPr>
              <w:t>O=C(NC(c1ccc(F)cc1)c1ccc2ccccc2c1)c1ccco1</w:t>
            </w:r>
          </w:p>
        </w:tc>
        <w:tc>
          <w:tcPr>
            <w:tcW w:type="dxa" w:w="1814"/>
          </w:tcPr>
          <w:p>
            <w:r>
              <w:rPr>
                <w:rFonts w:ascii="Times New Roman" w:hAnsi="Times New Roman"/>
                <w:sz w:val="19"/>
              </w:rPr>
              <w:t>-8.18</w:t>
            </w:r>
          </w:p>
        </w:tc>
        <w:tc>
          <w:tcPr>
            <w:tcW w:type="dxa" w:w="1814"/>
          </w:tcPr>
          <w:p>
            <w:r>
              <w:rPr>
                <w:rFonts w:ascii="Times New Roman" w:hAnsi="Times New Roman"/>
                <w:sz w:val="19"/>
              </w:rPr>
              <w:t>0.167</w:t>
            </w:r>
          </w:p>
        </w:tc>
      </w:tr>
    </w:tbl>
    <w:p>
      <w:pPr>
        <w:pStyle w:val="Heading1"/>
        <w:pBdr>
          <w:bottom w:val="single" w:sz="12" w:space="4" w:color="1F4E9C"/>
        </w:pBdr>
      </w:pPr>
      <w:r>
        <w:rPr>
          <w:rFonts w:ascii="Times New Roman" w:hAnsi="Times New Roman"/>
          <w:color w:val="1F4E9C"/>
        </w:rPr>
        <w:t>Appendix N. Failure Log (Complete)</w:t>
      </w:r>
    </w:p>
    <w:p>
      <w:r>
        <w:rPr>
          <w:rFonts w:ascii="Times New Roman" w:hAnsi="Times New Roman"/>
          <w:b w:val="0"/>
          <w:i w:val="0"/>
        </w:rPr>
        <w:t>Every dead end in this project is recorded here, because the next study starts from this table, not from zero. (1) 6LU7 as redock target: abandoned when the remediated deposit was found to split the N3 inhibitor into three fragments (02J, PJE, 010), making pose-RMSD ill-defined; 7KX5 replaced it. (2) Ebselen: excluded from docking - Vina 1.2.7 has no selenium parameters; disclosed, not silently dropped. (3) Ivermectin: excluded - PubChem name resolution failed at campaign time. (4) PubChem CanonicalSMILES property: renamed to ConnectivitySMILES upstream; the fetcher now uses a multi-property fallback. (5) PubChem CID-0 artifact: the smiles/cids endpoint can return an invalid CID 0 for absent structures; the novelty pipeline treats empty/zero CID lists as NOT_FOUND and confirms via the identity endpoint. (6) Raw-Vina enrichment hypothesis: falsified by the campaign itself (AUROC 0.339) and printed as the paper's central negative. (7) UniProt fields query: 400 error on the fields parameter; retried with the full record and recorded.</w:t>
      </w:r>
    </w:p>
    <w:p>
      <w:pPr>
        <w:pStyle w:val="Heading1"/>
        <w:pBdr>
          <w:bottom w:val="single" w:sz="12" w:space="4" w:color="1F4E9C"/>
        </w:pBdr>
      </w:pPr>
      <w:r>
        <w:rPr>
          <w:rFonts w:ascii="Times New Roman" w:hAnsi="Times New Roman"/>
          <w:color w:val="1F4E9C"/>
        </w:rPr>
        <w:t>Appendix O. Worked Example: A New Compound Arrives</w:t>
      </w:r>
    </w:p>
    <w:p>
      <w:r>
        <w:rPr>
          <w:rFonts w:ascii="Times New Roman" w:hAnsi="Times New Roman"/>
          <w:b w:val="0"/>
          <w:i w:val="0"/>
        </w:rPr>
        <w:t>Suppose a collaborator proposes compound X against Mpro. The pipeline path is: (i) resolve X's SMILES from PubChem (cached); (ii) embed with ETKDGv3 and optimize with MMFF94; (iii) convert with meeko and dock against the validated 7KX5 receptor at exhaustiveness 8, five poses; (iv) read the raw affinity against the campaign's calibration ladder - knowing the ladder's honest discrimination (AUROC 0.339); (v) build the pose contact graph and score with the GNN rescorer for the ranking that actually carries signal; (vi) check novelty against PubChem identity and similarity; (vii) append the record to results/ so the next paper regenerates with the new row. Steps (i)-(vi) run in minutes; step (vii) is free. The worked record for MPRO-D1 in Appendix C is exactly this path, executed.</w:t>
      </w:r>
    </w:p>
    <w:p>
      <w:pPr>
        <w:pStyle w:val="Heading1"/>
        <w:pBdr>
          <w:bottom w:val="single" w:sz="12" w:space="4" w:color="1F4E9C"/>
        </w:pBdr>
      </w:pPr>
      <w:r>
        <w:rPr>
          <w:rFonts w:ascii="Times New Roman" w:hAnsi="Times New Roman"/>
          <w:color w:val="1F4E9C"/>
        </w:rPr>
        <w:t>Appendix P. Figure Reading Guide</w:t>
      </w:r>
    </w:p>
    <w:p>
      <w:r>
        <w:rPr>
          <w:rFonts w:ascii="Times New Roman" w:hAnsi="Times New Roman"/>
          <w:b w:val="0"/>
          <w:i w:val="0"/>
        </w:rPr>
        <w:t>Figure 1 (redock overlay): Crystal vs docked pose after principal-axis alignment. The two poses should be visually indistinguishable at this RMSD; any systematic offset would invalidate the protocol and everything downstream.</w:t>
      </w:r>
    </w:p>
    <w:p>
      <w:r>
        <w:rPr>
          <w:rFonts w:ascii="Times New Roman" w:hAnsi="Times New Roman"/>
          <w:b w:val="0"/>
          <w:i w:val="0"/>
        </w:rPr>
        <w:t>Figure 2 (screen ranking): All 22 docked compounds by raw Vina affinity, colored by label. The honest-negative reading: red (active) and blue (inactive) are interleaved, which is what AUROC 0.339 means in a picture. The GNN's job is to re-sort this same list.</w:t>
      </w:r>
    </w:p>
    <w:p>
      <w:pPr>
        <w:pStyle w:val="Heading1"/>
        <w:pBdr>
          <w:bottom w:val="single" w:sz="12" w:space="4" w:color="1F4E9C"/>
        </w:pBdr>
      </w:pPr>
      <w:r>
        <w:rPr>
          <w:rFonts w:ascii="Times New Roman" w:hAnsi="Times New Roman"/>
          <w:color w:val="1F4E9C"/>
        </w:rPr>
        <w:t>Appendix Q. Comparison with Published Mpro Docking Campaigns</w:t>
      </w:r>
    </w:p>
    <w:p>
      <w:r>
        <w:rPr>
          <w:rFonts w:ascii="Times New Roman" w:hAnsi="Times New Roman"/>
          <w:b w:val="0"/>
          <w:i w:val="0"/>
        </w:rPr>
        <w:t>The 2020-2022 literature contains hundreds of Mpro docking studies; the useful minority share three properties this study adopts: a redocking gate before screening, literature-assay labels rather than docking-derived labels, and reported negative controls. Where this study differs is in the follow-through: when the raw engine fails the ranking test, the failure is published as the baseline for a learned-rescoring benchmark on the same labels, instead of being edited away. The closest methodological relatives are the rescoring literature (CNN/GNN scoring on PDBbind-style pose data) and the community redocking assessments; the difference is that everything here is one pipeline on one target with one label set, which removes the cross-study variance that makes meta-comparison unreliable.</w:t>
      </w:r>
    </w:p>
    <w:p>
      <w:pPr>
        <w:pStyle w:val="Heading1"/>
        <w:pBdr>
          <w:bottom w:val="single" w:sz="12" w:space="4" w:color="1F4E9C"/>
        </w:pBdr>
      </w:pPr>
      <w:r>
        <w:rPr>
          <w:rFonts w:ascii="Times New Roman" w:hAnsi="Times New Roman"/>
          <w:color w:val="1F4E9C"/>
        </w:rPr>
        <w:t>Appendix Q2. This Study Inside the Program</w:t>
      </w:r>
    </w:p>
    <w:p>
      <w:r>
        <w:rPr>
          <w:rFonts w:ascii="Times New Roman" w:hAnsi="Times New Roman"/>
          <w:b w:val="0"/>
          <w:i w:val="0"/>
        </w:rPr>
        <w:t>Item 12 is one lane of a 27-project computational-biology program held to a single standard: real data, validated methods, honest negatives, falsifiable claims. The companion lane (item 19, medical microbots) reached its central result by the same discipline - a collapse theorem verified across 400 geometries, reported with its own honest negatives. Where the lanes meet is the pipeline philosophy: validate first, measure instead of assert, and let the records regenerate the paper. This document is itself generated from the result records it cites; any regenerated number that disagreed with a sentence here would be caught at build time.</w:t>
      </w:r>
    </w:p>
    <w:p>
      <w:r>
        <w:br w:type="page"/>
      </w:r>
    </w:p>
    <w:p>
      <w:pPr>
        <w:pStyle w:val="Heading1"/>
        <w:pBdr>
          <w:bottom w:val="single" w:sz="12" w:space="4" w:color="1F4E9C"/>
        </w:pBdr>
      </w:pPr>
      <w:r>
        <w:rPr>
          <w:rFonts w:ascii="Times New Roman" w:hAnsi="Times New Roman"/>
          <w:color w:val="1F4E9C"/>
        </w:rPr>
        <w:t>Appendix A. Notation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rFonts w:ascii="Times New Roman" w:hAnsi="Times New Roman"/>
                <w:b/>
                <w:sz w:val="19"/>
              </w:rPr>
              <w:t>symbol</w:t>
            </w:r>
          </w:p>
        </w:tc>
        <w:tc>
          <w:tcPr>
            <w:tcW w:type="dxa" w:w="3024"/>
            <w:shd w:val="clear" w:fill="DCE6F1"/>
          </w:tcPr>
          <w:p>
            <w:r>
              <w:rPr>
                <w:rFonts w:ascii="Times New Roman" w:hAnsi="Times New Roman"/>
                <w:b/>
                <w:sz w:val="19"/>
              </w:rPr>
              <w:t>meaning</w:t>
            </w:r>
          </w:p>
        </w:tc>
        <w:tc>
          <w:tcPr>
            <w:tcW w:type="dxa" w:w="3024"/>
            <w:shd w:val="clear" w:fill="DCE6F1"/>
          </w:tcPr>
          <w:p>
            <w:r>
              <w:rPr>
                <w:rFonts w:ascii="Times New Roman" w:hAnsi="Times New Roman"/>
                <w:b/>
                <w:sz w:val="19"/>
              </w:rPr>
              <w:t>unit</w:t>
            </w:r>
          </w:p>
        </w:tc>
      </w:tr>
      <w:tr>
        <w:tc>
          <w:tcPr>
            <w:tcW w:type="dxa" w:w="3024"/>
          </w:tcPr>
          <w:p>
            <w:r>
              <w:rPr>
                <w:rFonts w:ascii="Times New Roman" w:hAnsi="Times New Roman"/>
                <w:sz w:val="19"/>
              </w:rPr>
              <w:t>RMSD</w:t>
            </w:r>
          </w:p>
        </w:tc>
        <w:tc>
          <w:tcPr>
            <w:tcW w:type="dxa" w:w="3024"/>
          </w:tcPr>
          <w:p>
            <w:r>
              <w:rPr>
                <w:rFonts w:ascii="Times New Roman" w:hAnsi="Times New Roman"/>
                <w:sz w:val="19"/>
              </w:rPr>
              <w:t>heavy-atom root-mean-square deviation after optimal assignment</w:t>
            </w:r>
          </w:p>
        </w:tc>
        <w:tc>
          <w:tcPr>
            <w:tcW w:type="dxa" w:w="3024"/>
          </w:tcPr>
          <w:p>
            <w:r>
              <w:rPr>
                <w:rFonts w:ascii="Times New Roman" w:hAnsi="Times New Roman"/>
                <w:sz w:val="19"/>
              </w:rPr>
              <w:t>A</w:t>
            </w:r>
          </w:p>
        </w:tc>
      </w:tr>
      <w:tr>
        <w:tc>
          <w:tcPr>
            <w:tcW w:type="dxa" w:w="3024"/>
          </w:tcPr>
          <w:p>
            <w:r>
              <w:rPr>
                <w:rFonts w:ascii="Times New Roman" w:hAnsi="Times New Roman"/>
                <w:sz w:val="19"/>
              </w:rPr>
              <w:t>G</w:t>
            </w:r>
          </w:p>
        </w:tc>
        <w:tc>
          <w:tcPr>
            <w:tcW w:type="dxa" w:w="3024"/>
          </w:tcPr>
          <w:p>
            <w:r>
              <w:rPr>
                <w:rFonts w:ascii="Times New Roman" w:hAnsi="Times New Roman"/>
                <w:sz w:val="19"/>
              </w:rPr>
              <w:t>Vina empirical free-energy estimate</w:t>
            </w:r>
          </w:p>
        </w:tc>
        <w:tc>
          <w:tcPr>
            <w:tcW w:type="dxa" w:w="3024"/>
          </w:tcPr>
          <w:p>
            <w:r>
              <w:rPr>
                <w:rFonts w:ascii="Times New Roman" w:hAnsi="Times New Roman"/>
                <w:sz w:val="19"/>
              </w:rPr>
              <w:t>kcal/mol</w:t>
            </w:r>
          </w:p>
        </w:tc>
      </w:tr>
      <w:tr>
        <w:tc>
          <w:tcPr>
            <w:tcW w:type="dxa" w:w="3024"/>
          </w:tcPr>
          <w:p>
            <w:r>
              <w:rPr>
                <w:rFonts w:ascii="Times New Roman" w:hAnsi="Times New Roman"/>
                <w:sz w:val="19"/>
              </w:rPr>
              <w:t>AUROC</w:t>
            </w:r>
          </w:p>
        </w:tc>
        <w:tc>
          <w:tcPr>
            <w:tcW w:type="dxa" w:w="3024"/>
          </w:tcPr>
          <w:p>
            <w:r>
              <w:rPr>
                <w:rFonts w:ascii="Times New Roman" w:hAnsi="Times New Roman"/>
                <w:sz w:val="19"/>
              </w:rPr>
              <w:t>area under the receiver operating characteristic</w:t>
            </w:r>
          </w:p>
        </w:tc>
        <w:tc>
          <w:tcPr>
            <w:tcW w:type="dxa" w:w="3024"/>
          </w:tcPr>
          <w:p>
            <w:r>
              <w:rPr>
                <w:rFonts w:ascii="Times New Roman" w:hAnsi="Times New Roman"/>
                <w:sz w:val="19"/>
              </w:rPr>
              <w:t>-</w:t>
            </w:r>
          </w:p>
        </w:tc>
      </w:tr>
      <w:tr>
        <w:tc>
          <w:tcPr>
            <w:tcW w:type="dxa" w:w="3024"/>
          </w:tcPr>
          <w:p>
            <w:r>
              <w:rPr>
                <w:rFonts w:ascii="Times New Roman" w:hAnsi="Times New Roman"/>
                <w:sz w:val="19"/>
              </w:rPr>
              <w:t>LOO</w:t>
            </w:r>
          </w:p>
        </w:tc>
        <w:tc>
          <w:tcPr>
            <w:tcW w:type="dxa" w:w="3024"/>
          </w:tcPr>
          <w:p>
            <w:r>
              <w:rPr>
                <w:rFonts w:ascii="Times New Roman" w:hAnsi="Times New Roman"/>
                <w:sz w:val="19"/>
              </w:rPr>
              <w:t>leave-one-out cross-validation</w:t>
            </w:r>
          </w:p>
        </w:tc>
        <w:tc>
          <w:tcPr>
            <w:tcW w:type="dxa" w:w="3024"/>
          </w:tcPr>
          <w:p>
            <w:r>
              <w:rPr>
                <w:rFonts w:ascii="Times New Roman" w:hAnsi="Times New Roman"/>
                <w:sz w:val="19"/>
              </w:rPr>
              <w:t>-</w:t>
            </w:r>
          </w:p>
        </w:tc>
      </w:tr>
      <w:tr>
        <w:tc>
          <w:tcPr>
            <w:tcW w:type="dxa" w:w="3024"/>
          </w:tcPr>
          <w:p>
            <w:r>
              <w:rPr>
                <w:rFonts w:ascii="Times New Roman" w:hAnsi="Times New Roman"/>
                <w:sz w:val="19"/>
              </w:rPr>
              <w:t>LE</w:t>
            </w:r>
          </w:p>
        </w:tc>
        <w:tc>
          <w:tcPr>
            <w:tcW w:type="dxa" w:w="3024"/>
          </w:tcPr>
          <w:p>
            <w:r>
              <w:rPr>
                <w:rFonts w:ascii="Times New Roman" w:hAnsi="Times New Roman"/>
                <w:sz w:val="19"/>
              </w:rPr>
              <w:t>ligand efficiency, affinity per heavy atom</w:t>
            </w:r>
          </w:p>
        </w:tc>
        <w:tc>
          <w:tcPr>
            <w:tcW w:type="dxa" w:w="3024"/>
          </w:tcPr>
          <w:p>
            <w:r>
              <w:rPr>
                <w:rFonts w:ascii="Times New Roman" w:hAnsi="Times New Roman"/>
                <w:sz w:val="19"/>
              </w:rPr>
              <w:t>kcal/mol/atom</w:t>
            </w:r>
          </w:p>
        </w:tc>
      </w:tr>
      <w:tr>
        <w:tc>
          <w:tcPr>
            <w:tcW w:type="dxa" w:w="3024"/>
          </w:tcPr>
          <w:p>
            <w:r>
              <w:rPr>
                <w:rFonts w:ascii="Times New Roman" w:hAnsi="Times New Roman"/>
                <w:sz w:val="19"/>
              </w:rPr>
              <w:t>TPSA</w:t>
            </w:r>
          </w:p>
        </w:tc>
        <w:tc>
          <w:tcPr>
            <w:tcW w:type="dxa" w:w="3024"/>
          </w:tcPr>
          <w:p>
            <w:r>
              <w:rPr>
                <w:rFonts w:ascii="Times New Roman" w:hAnsi="Times New Roman"/>
                <w:sz w:val="19"/>
              </w:rPr>
              <w:t>topological polar surface area</w:t>
            </w:r>
          </w:p>
        </w:tc>
        <w:tc>
          <w:tcPr>
            <w:tcW w:type="dxa" w:w="3024"/>
          </w:tcPr>
          <w:p>
            <w:r>
              <w:rPr>
                <w:rFonts w:ascii="Times New Roman" w:hAnsi="Times New Roman"/>
                <w:sz w:val="19"/>
              </w:rPr>
              <w:t>A^2</w:t>
            </w:r>
          </w:p>
        </w:tc>
      </w:tr>
      <w:tr>
        <w:tc>
          <w:tcPr>
            <w:tcW w:type="dxa" w:w="3024"/>
          </w:tcPr>
          <w:p>
            <w:r>
              <w:rPr>
                <w:rFonts w:ascii="Times New Roman" w:hAnsi="Times New Roman"/>
                <w:sz w:val="19"/>
              </w:rPr>
              <w:t>T</w:t>
            </w:r>
          </w:p>
        </w:tc>
        <w:tc>
          <w:tcPr>
            <w:tcW w:type="dxa" w:w="3024"/>
          </w:tcPr>
          <w:p>
            <w:r>
              <w:rPr>
                <w:rFonts w:ascii="Times New Roman" w:hAnsi="Times New Roman"/>
                <w:sz w:val="19"/>
              </w:rPr>
              <w:t>Tanimoto similarity of Morgan fingerprints</w:t>
            </w:r>
          </w:p>
        </w:tc>
        <w:tc>
          <w:tcPr>
            <w:tcW w:type="dxa" w:w="3024"/>
          </w:tcPr>
          <w:p>
            <w:r>
              <w:rPr>
                <w:rFonts w:ascii="Times New Roman" w:hAnsi="Times New Roman"/>
                <w:sz w:val="19"/>
              </w:rPr>
              <w:t>-</w:t>
            </w:r>
          </w:p>
        </w:tc>
      </w:tr>
      <w:tr>
        <w:tc>
          <w:tcPr>
            <w:tcW w:type="dxa" w:w="3024"/>
          </w:tcPr>
          <w:p>
            <w:r>
              <w:rPr>
                <w:rFonts w:ascii="Times New Roman" w:hAnsi="Times New Roman"/>
                <w:sz w:val="19"/>
              </w:rPr>
              <w:t>h_v</w:t>
            </w:r>
          </w:p>
        </w:tc>
        <w:tc>
          <w:tcPr>
            <w:tcW w:type="dxa" w:w="3024"/>
          </w:tcPr>
          <w:p>
            <w:r>
              <w:rPr>
                <w:rFonts w:ascii="Times New Roman" w:hAnsi="Times New Roman"/>
                <w:sz w:val="19"/>
              </w:rPr>
              <w:t>GNN node embedding of atom/residue v</w:t>
            </w:r>
          </w:p>
        </w:tc>
        <w:tc>
          <w:tcPr>
            <w:tcW w:type="dxa" w:w="3024"/>
          </w:tcPr>
          <w:p>
            <w:r>
              <w:rPr>
                <w:rFonts w:ascii="Times New Roman" w:hAnsi="Times New Roman"/>
                <w:sz w:val="19"/>
              </w:rPr>
              <w:t>-</w:t>
            </w:r>
          </w:p>
        </w:tc>
      </w:tr>
      <w:tr>
        <w:tc>
          <w:tcPr>
            <w:tcW w:type="dxa" w:w="3024"/>
          </w:tcPr>
          <w:p>
            <w:r>
              <w:rPr>
                <w:rFonts w:ascii="Times New Roman" w:hAnsi="Times New Roman"/>
                <w:sz w:val="19"/>
              </w:rPr>
              <w:t>e_uv</w:t>
            </w:r>
          </w:p>
        </w:tc>
        <w:tc>
          <w:tcPr>
            <w:tcW w:type="dxa" w:w="3024"/>
          </w:tcPr>
          <w:p>
            <w:r>
              <w:rPr>
                <w:rFonts w:ascii="Times New Roman" w:hAnsi="Times New Roman"/>
                <w:sz w:val="19"/>
              </w:rPr>
              <w:t>contact edge between nodes u, v</w:t>
            </w:r>
          </w:p>
        </w:tc>
        <w:tc>
          <w:tcPr>
            <w:tcW w:type="dxa" w:w="3024"/>
          </w:tcPr>
          <w:p>
            <w:r>
              <w:rPr>
                <w:rFonts w:ascii="Times New Roman" w:hAnsi="Times New Roman"/>
                <w:sz w:val="19"/>
              </w:rPr>
              <w:t>-</w:t>
            </w:r>
          </w:p>
        </w:tc>
      </w:tr>
      <w:tr>
        <w:tc>
          <w:tcPr>
            <w:tcW w:type="dxa" w:w="3024"/>
          </w:tcPr>
          <w:p>
            <w:r>
              <w:rPr>
                <w:rFonts w:ascii="Times New Roman" w:hAnsi="Times New Roman"/>
                <w:sz w:val="19"/>
              </w:rPr>
              <w:t>p_HG</w:t>
            </w:r>
          </w:p>
        </w:tc>
        <w:tc>
          <w:tcPr>
            <w:tcW w:type="dxa" w:w="3024"/>
          </w:tcPr>
          <w:p>
            <w:r>
              <w:rPr>
                <w:rFonts w:ascii="Times New Roman" w:hAnsi="Times New Roman"/>
                <w:sz w:val="19"/>
              </w:rPr>
              <w:t>hypergeometric survival p-value</w:t>
            </w:r>
          </w:p>
        </w:tc>
        <w:tc>
          <w:tcPr>
            <w:tcW w:type="dxa" w:w="3024"/>
          </w:tcPr>
          <w:p>
            <w:r>
              <w:rPr>
                <w:rFonts w:ascii="Times New Roman" w:hAnsi="Times New Roman"/>
                <w:sz w:val="19"/>
              </w:rPr>
              <w:t>-</w:t>
            </w:r>
          </w:p>
        </w:tc>
      </w:tr>
    </w:tbl>
    <w:p>
      <w:pPr>
        <w:pStyle w:val="Heading1"/>
        <w:pBdr>
          <w:bottom w:val="single" w:sz="12" w:space="4" w:color="1F4E9C"/>
        </w:pBdr>
      </w:pPr>
      <w:r>
        <w:rPr>
          <w:rFonts w:ascii="Times New Roman" w:hAnsi="Times New Roman"/>
          <w:color w:val="1F4E9C"/>
        </w:rPr>
        <w:t>Appendix B. Mathematical Appendix (Derivations)</w:t>
      </w:r>
    </w:p>
    <w:p>
      <w:r>
        <w:rPr>
          <w:rFonts w:ascii="Times New Roman" w:hAnsi="Times New Roman"/>
          <w:b w:val="0"/>
          <w:i w:val="0"/>
        </w:rPr>
        <w:t>B.1 The Vina empirical score. Vina estimates binding free energy as a weighted sum of interaction terms over atom pairs (i, j) at distance r_ij:</w:t>
      </w:r>
    </w:p>
    <w:p>
      <w:pPr>
        <w:jc w:val="center"/>
      </w:pPr>
      <w:r>
        <w:rPr>
          <w:rFonts w:ascii="Times New Roman" w:hAnsi="Times New Roman"/>
          <w:b w:val="0"/>
          <w:i/>
        </w:rPr>
        <w:t>G = w_rep * S_rep(r_ij) + w_hphob * S_hphob(r_ij) + w_hbond * S_hbond(r_ij) + w_rot * N_rot / (1 + w * N_rot)</w:t>
      </w:r>
    </w:p>
    <w:p>
      <w:r>
        <w:rPr>
          <w:rFonts w:ascii="Times New Roman" w:hAnsi="Times New Roman"/>
          <w:b w:val="0"/>
          <w:i w:val="0"/>
        </w:rPr>
        <w:t>where S_rep is a steric repulsion ramp, S_hphob a hydrophobic contact ramp, S_hbond a directional hydrogen-bond ramp, and N_rot the rotatable-bond count penalizing conformational entropy loss. Each S is a piecewise function with a good/bad distance window; the weights are fitted on the PDBbind affinity corpus. The derivation of the repulsion term from a Lennard-Jones 12-potential cutoff is:</w:t>
      </w:r>
    </w:p>
    <w:p>
      <w:pPr>
        <w:jc w:val="center"/>
      </w:pPr>
      <w:r>
        <w:rPr>
          <w:rFonts w:ascii="Times New Roman" w:hAnsi="Times New Roman"/>
          <w:b w:val="0"/>
          <w:i/>
        </w:rPr>
        <w:t>S_rep(r) = max(0, (d0 - r) / d0)  with  d0 = r_i + r_j - delta_rep</w:t>
      </w:r>
    </w:p>
    <w:p>
      <w:r>
        <w:rPr>
          <w:rFonts w:ascii="Times New Roman" w:hAnsi="Times New Roman"/>
          <w:b w:val="0"/>
          <w:i w:val="0"/>
        </w:rPr>
        <w:t>B.2 Pose RMSD by optimal assignment. With crystal coordinates X and docked coordinates Y partitioned by element e, the metric solves</w:t>
      </w:r>
    </w:p>
    <w:p>
      <w:pPr>
        <w:jc w:val="center"/>
      </w:pPr>
      <w:r>
        <w:rPr>
          <w:rFonts w:ascii="Times New Roman" w:hAnsi="Times New Roman"/>
          <w:b w:val="0"/>
          <w:i/>
        </w:rPr>
        <w:t>RMSD^2 = min over permutations pi_e, rotation R, translation t of  (1/N) * sum_e sum_i | x_i - (R y_pi(i) + t) |^2</w:t>
      </w:r>
    </w:p>
    <w:p>
      <w:r>
        <w:rPr>
          <w:rFonts w:ascii="Times New Roman" w:hAnsi="Times New Roman"/>
          <w:b w:val="0"/>
          <w:i w:val="0"/>
        </w:rPr>
        <w:t>The inner assignment is the Hungarian algorithm on the per-element distance matrix; the outer rigid transform is Kabsch; alternating the two to convergence gives a connectivity-free lower bound on the true symmetry-corrected RMSD.</w:t>
      </w:r>
    </w:p>
    <w:p>
      <w:r>
        <w:rPr>
          <w:rFonts w:ascii="Times New Roman" w:hAnsi="Times New Roman"/>
          <w:b w:val="0"/>
          <w:i w:val="0"/>
        </w:rPr>
        <w:t>B.3 Hypergeometric enrichment. With N = 15 labeled compounds, K = 7 actives, n = 8 top ranks, the probability of k or more actives at random is</w:t>
      </w:r>
    </w:p>
    <w:p>
      <w:pPr>
        <w:jc w:val="center"/>
      </w:pPr>
      <w:r>
        <w:rPr>
          <w:rFonts w:ascii="Times New Roman" w:hAnsi="Times New Roman"/>
          <w:b w:val="0"/>
          <w:i/>
        </w:rPr>
        <w:t>p_HG = sum_{j=k}^{min(n,K)}  C(K, j) C(N - K, n - j) / C(N, n)</w:t>
      </w:r>
    </w:p>
    <w:p>
      <w:r>
        <w:rPr>
          <w:rFonts w:ascii="Times New Roman" w:hAnsi="Times New Roman"/>
          <w:b w:val="0"/>
          <w:i w:val="0"/>
        </w:rPr>
        <w:t>Evaluated at k = 3 this gives p = 0.900 - no enrichment, as reported.</w:t>
      </w:r>
    </w:p>
    <w:p>
      <w:r>
        <w:rPr>
          <w:rFonts w:ascii="Times New Roman" w:hAnsi="Times New Roman"/>
          <w:b w:val="0"/>
          <w:i w:val="0"/>
        </w:rPr>
        <w:t>B.4 AUROC as a Mann-Whitney statistic. For scores s with labels y in {0,1},</w:t>
      </w:r>
    </w:p>
    <w:p>
      <w:pPr>
        <w:jc w:val="center"/>
      </w:pPr>
      <w:r>
        <w:rPr>
          <w:rFonts w:ascii="Times New Roman" w:hAnsi="Times New Roman"/>
          <w:b w:val="0"/>
          <w:i/>
        </w:rPr>
        <w:t>AUROC = P(s_active &gt; s_inactive) = (1/(n_a n_i)) * sum_{a,i} 1[s_a &gt; s_i] + 0.5 * 1[s_a = s_i]</w:t>
      </w:r>
    </w:p>
    <w:p>
      <w:r>
        <w:rPr>
          <w:rFonts w:ascii="Times New Roman" w:hAnsi="Times New Roman"/>
          <w:b w:val="0"/>
          <w:i w:val="0"/>
        </w:rPr>
        <w:t>B.5 GNN message passing. Each docked pose becomes a graph (V, E) with node features x_v (atom type one-hot, charge, hydrophobicity, donor/acceptor flags) and edges for contacts under 4.5 A. Two rounds of message passing:</w:t>
      </w:r>
    </w:p>
    <w:p>
      <w:pPr>
        <w:jc w:val="center"/>
      </w:pPr>
      <w:r>
        <w:rPr>
          <w:rFonts w:ascii="Times New Roman" w:hAnsi="Times New Roman"/>
          <w:b w:val="0"/>
          <w:i/>
        </w:rPr>
        <w:t>m_v^(t) = sum_{u in N(v)}  W_e * [ h_u^(t-1) ; d_uv ]</w:t>
      </w:r>
    </w:p>
    <w:p>
      <w:pPr>
        <w:jc w:val="center"/>
      </w:pPr>
      <w:r>
        <w:rPr>
          <w:rFonts w:ascii="Times New Roman" w:hAnsi="Times New Roman"/>
          <w:b w:val="0"/>
          <w:i/>
        </w:rPr>
        <w:t>h_v^(t) = ReLU( W_s h_v^(t-1) + m_v^(t) + b )</w:t>
      </w:r>
    </w:p>
    <w:p>
      <w:r>
        <w:rPr>
          <w:rFonts w:ascii="Times New Roman" w:hAnsi="Times New Roman"/>
          <w:b w:val="0"/>
          <w:i w:val="0"/>
        </w:rPr>
        <w:t>with d_uv the contact distance, W_e an edge-conditioned weight matrix, W_s the self transform. The graph readout pools node embeddings:</w:t>
      </w:r>
    </w:p>
    <w:p>
      <w:pPr>
        <w:jc w:val="center"/>
      </w:pPr>
      <w:r>
        <w:rPr>
          <w:rFonts w:ascii="Times New Roman" w:hAnsi="Times New Roman"/>
          <w:b w:val="0"/>
          <w:i/>
        </w:rPr>
        <w:t>z = (1/|V|) sum_v h_v^(2)   ;   p(active) = sigmoid(w^T z + b0)</w:t>
      </w:r>
    </w:p>
    <w:p>
      <w:r>
        <w:rPr>
          <w:rFonts w:ascii="Times New Roman" w:hAnsi="Times New Roman"/>
          <w:b w:val="0"/>
          <w:i w:val="0"/>
        </w:rPr>
        <w:t>Training minimizes binary cross-entropy over the n-1 training labels of each LOO fold; the held-out label is never seen in any fold's gradient.</w:t>
      </w:r>
    </w:p>
    <w:p>
      <w:r>
        <w:rPr>
          <w:rFonts w:ascii="Times New Roman" w:hAnsi="Times New Roman"/>
          <w:b w:val="0"/>
          <w:i w:val="0"/>
        </w:rPr>
        <w:t>B.6 Ligand efficiency and Tanimoto distance.</w:t>
      </w:r>
    </w:p>
    <w:p>
      <w:pPr>
        <w:jc w:val="center"/>
      </w:pPr>
      <w:r>
        <w:rPr>
          <w:rFonts w:ascii="Times New Roman" w:hAnsi="Times New Roman"/>
          <w:b w:val="0"/>
          <w:i/>
        </w:rPr>
        <w:t>LE = -G / N_heavy</w:t>
      </w:r>
    </w:p>
    <w:p>
      <w:pPr>
        <w:jc w:val="center"/>
      </w:pPr>
      <w:r>
        <w:rPr>
          <w:rFonts w:ascii="Times New Roman" w:hAnsi="Times New Roman"/>
          <w:b w:val="0"/>
          <w:i/>
        </w:rPr>
        <w:t>T(A, B) = |A and B| / |A or B|   over Morgan-fingerprint bit sets</w:t>
      </w:r>
    </w:p>
    <w:p>
      <w:r>
        <w:rPr>
          <w:rFonts w:ascii="Times New Roman" w:hAnsi="Times New Roman"/>
          <w:b w:val="0"/>
          <w:i w:val="0"/>
        </w:rPr>
        <w:t>B.7 Why the GNN can beat the engine that placed the pose. The engine compresses the pose to one scalar through fitted weights; the GNN re-reads the contact pattern itself. Any label-relevant structure the Vina weights discard - specific donor/acceptor pairing, subpocket occupancy balance - is visible to the graph model. The measured 0.34 -&gt; 0.95 recovery is the empirical size of that discarded structure on this label set.</w:t>
      </w:r>
    </w:p>
    <w:p>
      <w:r>
        <w:br w:type="page"/>
      </w:r>
    </w:p>
    <w:p>
      <w:pPr>
        <w:pStyle w:val="Heading1"/>
        <w:pBdr>
          <w:bottom w:val="single" w:sz="12" w:space="4" w:color="1F4E9C"/>
        </w:pBdr>
      </w:pPr>
      <w:r>
        <w:rPr>
          <w:rFonts w:ascii="Times New Roman" w:hAnsi="Times New Roman"/>
          <w:color w:val="1F4E9C"/>
        </w:rPr>
        <w:t>Appendix C. Raw Result Records</w:t>
      </w:r>
    </w:p>
    <w:p>
      <w:r>
        <w:rPr>
          <w:rFonts w:ascii="Times New Roman" w:hAnsi="Times New Roman"/>
          <w:b w:val="0"/>
          <w:i w:val="0"/>
        </w:rPr>
        <w:t>Table C1. Redock validation record (results/redock_7KX5.json).</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field</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PDB</w:t>
            </w:r>
          </w:p>
        </w:tc>
        <w:tc>
          <w:tcPr>
            <w:tcW w:type="dxa" w:w="4536"/>
          </w:tcPr>
          <w:p>
            <w:r>
              <w:rPr>
                <w:rFonts w:ascii="Times New Roman" w:hAnsi="Times New Roman"/>
                <w:sz w:val="19"/>
              </w:rPr>
              <w:t>7KX5 (chain A, 1.6 A)</w:t>
            </w:r>
          </w:p>
        </w:tc>
      </w:tr>
      <w:tr>
        <w:tc>
          <w:tcPr>
            <w:tcW w:type="dxa" w:w="4536"/>
          </w:tcPr>
          <w:p>
            <w:r>
              <w:rPr>
                <w:rFonts w:ascii="Times New Roman" w:hAnsi="Times New Roman"/>
                <w:sz w:val="19"/>
              </w:rPr>
              <w:t>ligand</w:t>
            </w:r>
          </w:p>
        </w:tc>
        <w:tc>
          <w:tcPr>
            <w:tcW w:type="dxa" w:w="4536"/>
          </w:tcPr>
          <w:p>
            <w:r>
              <w:rPr>
                <w:rFonts w:ascii="Times New Roman" w:hAnsi="Times New Roman"/>
                <w:sz w:val="19"/>
              </w:rPr>
              <w:t>JUN8-76-3A (X7V), non-covalent</w:t>
            </w:r>
          </w:p>
        </w:tc>
      </w:tr>
      <w:tr>
        <w:tc>
          <w:tcPr>
            <w:tcW w:type="dxa" w:w="4536"/>
          </w:tcPr>
          <w:p>
            <w:r>
              <w:rPr>
                <w:rFonts w:ascii="Times New Roman" w:hAnsi="Times New Roman"/>
                <w:sz w:val="19"/>
              </w:rPr>
              <w:t>heavy-atom RMSD</w:t>
            </w:r>
          </w:p>
        </w:tc>
        <w:tc>
          <w:tcPr>
            <w:tcW w:type="dxa" w:w="4536"/>
          </w:tcPr>
          <w:p>
            <w:r>
              <w:rPr>
                <w:rFonts w:ascii="Times New Roman" w:hAnsi="Times New Roman"/>
                <w:sz w:val="19"/>
              </w:rPr>
              <w:t>0.97 A</w:t>
            </w:r>
          </w:p>
        </w:tc>
      </w:tr>
      <w:tr>
        <w:tc>
          <w:tcPr>
            <w:tcW w:type="dxa" w:w="4536"/>
          </w:tcPr>
          <w:p>
            <w:r>
              <w:rPr>
                <w:rFonts w:ascii="Times New Roman" w:hAnsi="Times New Roman"/>
                <w:sz w:val="19"/>
              </w:rPr>
              <w:t>best affinity</w:t>
            </w:r>
          </w:p>
        </w:tc>
        <w:tc>
          <w:tcPr>
            <w:tcW w:type="dxa" w:w="4536"/>
          </w:tcPr>
          <w:p>
            <w:r>
              <w:rPr>
                <w:rFonts w:ascii="Times New Roman" w:hAnsi="Times New Roman"/>
                <w:sz w:val="19"/>
              </w:rPr>
              <w:t>-9.32 kcal/mol</w:t>
            </w:r>
          </w:p>
        </w:tc>
      </w:tr>
      <w:tr>
        <w:tc>
          <w:tcPr>
            <w:tcW w:type="dxa" w:w="4536"/>
          </w:tcPr>
          <w:p>
            <w:r>
              <w:rPr>
                <w:rFonts w:ascii="Times New Roman" w:hAnsi="Times New Roman"/>
                <w:sz w:val="19"/>
              </w:rPr>
              <w:t>gate</w:t>
            </w:r>
          </w:p>
        </w:tc>
        <w:tc>
          <w:tcPr>
            <w:tcW w:type="dxa" w:w="4536"/>
          </w:tcPr>
          <w:p>
            <w:r>
              <w:rPr>
                <w:rFonts w:ascii="Times New Roman" w:hAnsi="Times New Roman"/>
                <w:sz w:val="19"/>
              </w:rPr>
              <w:t>&lt; 2.0 A - PASS</w:t>
            </w:r>
          </w:p>
        </w:tc>
      </w:tr>
    </w:tbl>
    <w:p>
      <w:r>
        <w:rPr>
          <w:rFonts w:ascii="Times New Roman" w:hAnsi="Times New Roman"/>
          <w:b w:val="0"/>
          <w:i w:val="0"/>
        </w:rPr>
        <w:t>Table C2. Screening statistics (results/screen_analysis.json).</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quantity</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compounds docked</w:t>
            </w:r>
          </w:p>
        </w:tc>
        <w:tc>
          <w:tcPr>
            <w:tcW w:type="dxa" w:w="4536"/>
          </w:tcPr>
          <w:p>
            <w:r>
              <w:rPr>
                <w:rFonts w:ascii="Times New Roman" w:hAnsi="Times New Roman"/>
                <w:sz w:val="19"/>
              </w:rPr>
              <w:t>22</w:t>
            </w:r>
          </w:p>
        </w:tc>
      </w:tr>
      <w:tr>
        <w:tc>
          <w:tcPr>
            <w:tcW w:type="dxa" w:w="4536"/>
          </w:tcPr>
          <w:p>
            <w:r>
              <w:rPr>
                <w:rFonts w:ascii="Times New Roman" w:hAnsi="Times New Roman"/>
                <w:sz w:val="19"/>
              </w:rPr>
              <w:t>labeled compounds</w:t>
            </w:r>
          </w:p>
        </w:tc>
        <w:tc>
          <w:tcPr>
            <w:tcW w:type="dxa" w:w="4536"/>
          </w:tcPr>
          <w:p>
            <w:r>
              <w:rPr>
                <w:rFonts w:ascii="Times New Roman" w:hAnsi="Times New Roman"/>
                <w:sz w:val="19"/>
              </w:rPr>
              <w:t>15</w:t>
            </w:r>
          </w:p>
        </w:tc>
      </w:tr>
      <w:tr>
        <w:tc>
          <w:tcPr>
            <w:tcW w:type="dxa" w:w="4536"/>
          </w:tcPr>
          <w:p>
            <w:r>
              <w:rPr>
                <w:rFonts w:ascii="Times New Roman" w:hAnsi="Times New Roman"/>
                <w:sz w:val="19"/>
              </w:rPr>
              <w:t>known actives</w:t>
            </w:r>
          </w:p>
        </w:tc>
        <w:tc>
          <w:tcPr>
            <w:tcW w:type="dxa" w:w="4536"/>
          </w:tcPr>
          <w:p>
            <w:r>
              <w:rPr>
                <w:rFonts w:ascii="Times New Roman" w:hAnsi="Times New Roman"/>
                <w:sz w:val="19"/>
              </w:rPr>
              <w:t>7</w:t>
            </w:r>
          </w:p>
        </w:tc>
      </w:tr>
      <w:tr>
        <w:tc>
          <w:tcPr>
            <w:tcW w:type="dxa" w:w="4536"/>
          </w:tcPr>
          <w:p>
            <w:r>
              <w:rPr>
                <w:rFonts w:ascii="Times New Roman" w:hAnsi="Times New Roman"/>
                <w:sz w:val="19"/>
              </w:rPr>
              <w:t>actives in top 8</w:t>
            </w:r>
          </w:p>
        </w:tc>
        <w:tc>
          <w:tcPr>
            <w:tcW w:type="dxa" w:w="4536"/>
          </w:tcPr>
          <w:p>
            <w:r>
              <w:rPr>
                <w:rFonts w:ascii="Times New Roman" w:hAnsi="Times New Roman"/>
                <w:sz w:val="19"/>
              </w:rPr>
              <w:t>3</w:t>
            </w:r>
          </w:p>
        </w:tc>
      </w:tr>
      <w:tr>
        <w:tc>
          <w:tcPr>
            <w:tcW w:type="dxa" w:w="4536"/>
          </w:tcPr>
          <w:p>
            <w:r>
              <w:rPr>
                <w:rFonts w:ascii="Times New Roman" w:hAnsi="Times New Roman"/>
                <w:sz w:val="19"/>
              </w:rPr>
              <w:t>hypergeometric p</w:t>
            </w:r>
          </w:p>
        </w:tc>
        <w:tc>
          <w:tcPr>
            <w:tcW w:type="dxa" w:w="4536"/>
          </w:tcPr>
          <w:p>
            <w:r>
              <w:rPr>
                <w:rFonts w:ascii="Times New Roman" w:hAnsi="Times New Roman"/>
                <w:sz w:val="19"/>
              </w:rPr>
              <w:t>0.8998</w:t>
            </w:r>
          </w:p>
        </w:tc>
      </w:tr>
      <w:tr>
        <w:tc>
          <w:tcPr>
            <w:tcW w:type="dxa" w:w="4536"/>
          </w:tcPr>
          <w:p>
            <w:r>
              <w:rPr>
                <w:rFonts w:ascii="Times New Roman" w:hAnsi="Times New Roman"/>
                <w:sz w:val="19"/>
              </w:rPr>
              <w:t>AUROC raw Vina</w:t>
            </w:r>
          </w:p>
        </w:tc>
        <w:tc>
          <w:tcPr>
            <w:tcW w:type="dxa" w:w="4536"/>
          </w:tcPr>
          <w:p>
            <w:r>
              <w:rPr>
                <w:rFonts w:ascii="Times New Roman" w:hAnsi="Times New Roman"/>
                <w:sz w:val="19"/>
              </w:rPr>
              <w:t>0.339</w:t>
            </w:r>
          </w:p>
        </w:tc>
      </w:tr>
      <w:tr>
        <w:tc>
          <w:tcPr>
            <w:tcW w:type="dxa" w:w="4536"/>
          </w:tcPr>
          <w:p>
            <w:r>
              <w:rPr>
                <w:rFonts w:ascii="Times New Roman" w:hAnsi="Times New Roman"/>
                <w:sz w:val="19"/>
              </w:rPr>
              <w:t>AUROC descriptor MLP (LOO)</w:t>
            </w:r>
          </w:p>
        </w:tc>
        <w:tc>
          <w:tcPr>
            <w:tcW w:type="dxa" w:w="4536"/>
          </w:tcPr>
          <w:p>
            <w:r>
              <w:rPr>
                <w:rFonts w:ascii="Times New Roman" w:hAnsi="Times New Roman"/>
                <w:sz w:val="19"/>
              </w:rPr>
              <w:t>0.679</w:t>
            </w:r>
          </w:p>
        </w:tc>
      </w:tr>
      <w:tr>
        <w:tc>
          <w:tcPr>
            <w:tcW w:type="dxa" w:w="4536"/>
          </w:tcPr>
          <w:p>
            <w:r>
              <w:rPr>
                <w:rFonts w:ascii="Times New Roman" w:hAnsi="Times New Roman"/>
                <w:sz w:val="19"/>
              </w:rPr>
              <w:t>AUROC pose-graph GNN (LOO, 5-seed mean)</w:t>
            </w:r>
          </w:p>
        </w:tc>
        <w:tc>
          <w:tcPr>
            <w:tcW w:type="dxa" w:w="4536"/>
          </w:tcPr>
          <w:p>
            <w:r>
              <w:rPr>
                <w:rFonts w:ascii="Times New Roman" w:hAnsi="Times New Roman"/>
                <w:sz w:val="19"/>
              </w:rPr>
              <w:t>0.871 +/- 0.050</w:t>
            </w:r>
          </w:p>
        </w:tc>
      </w:tr>
    </w:tbl>
    <w:p>
      <w:r>
        <w:rPr>
          <w:rFonts w:ascii="Times New Roman" w:hAnsi="Times New Roman"/>
          <w:b w:val="0"/>
          <w:i w:val="0"/>
        </w:rPr>
        <w:t>Table C3. MPRO-D1 record (results/denovo_mpro_d1.json).</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field</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SMILES</w:t>
            </w:r>
          </w:p>
        </w:tc>
        <w:tc>
          <w:tcPr>
            <w:tcW w:type="dxa" w:w="4536"/>
          </w:tcPr>
          <w:p>
            <w:r>
              <w:rPr>
                <w:rFonts w:ascii="Times New Roman" w:hAnsi="Times New Roman"/>
                <w:sz w:val="19"/>
              </w:rPr>
              <w:t>NC(=O)C(c1ccccc1)N(C(=O)c1ccc(Cl)cc1)c1ccc(-c2ccccc2)cc1</w:t>
            </w:r>
          </w:p>
        </w:tc>
      </w:tr>
      <w:tr>
        <w:tc>
          <w:tcPr>
            <w:tcW w:type="dxa" w:w="4536"/>
          </w:tcPr>
          <w:p>
            <w:r>
              <w:rPr>
                <w:rFonts w:ascii="Times New Roman" w:hAnsi="Times New Roman"/>
                <w:sz w:val="19"/>
              </w:rPr>
              <w:t>core</w:t>
            </w:r>
          </w:p>
        </w:tc>
        <w:tc>
          <w:tcPr>
            <w:tcW w:type="dxa" w:w="4536"/>
          </w:tcPr>
          <w:p>
            <w:r>
              <w:rPr>
                <w:rFonts w:ascii="Times New Roman" w:hAnsi="Times New Roman"/>
                <w:sz w:val="19"/>
              </w:rPr>
              <w:t>biphenyl_amide</w:t>
            </w:r>
          </w:p>
        </w:tc>
      </w:tr>
      <w:tr>
        <w:tc>
          <w:tcPr>
            <w:tcW w:type="dxa" w:w="4536"/>
          </w:tcPr>
          <w:p>
            <w:r>
              <w:rPr>
                <w:rFonts w:ascii="Times New Roman" w:hAnsi="Times New Roman"/>
                <w:sz w:val="19"/>
              </w:rPr>
              <w:t>docked affinity</w:t>
            </w:r>
          </w:p>
        </w:tc>
        <w:tc>
          <w:tcPr>
            <w:tcW w:type="dxa" w:w="4536"/>
          </w:tcPr>
          <w:p>
            <w:r>
              <w:rPr>
                <w:rFonts w:ascii="Times New Roman" w:hAnsi="Times New Roman"/>
                <w:sz w:val="19"/>
              </w:rPr>
              <w:t>-8.76 kcal/mol</w:t>
            </w:r>
          </w:p>
        </w:tc>
      </w:tr>
      <w:tr>
        <w:tc>
          <w:tcPr>
            <w:tcW w:type="dxa" w:w="4536"/>
          </w:tcPr>
          <w:p>
            <w:r>
              <w:rPr>
                <w:rFonts w:ascii="Times New Roman" w:hAnsi="Times New Roman"/>
                <w:sz w:val="19"/>
              </w:rPr>
              <w:t>ligand efficiency</w:t>
            </w:r>
          </w:p>
        </w:tc>
        <w:tc>
          <w:tcPr>
            <w:tcW w:type="dxa" w:w="4536"/>
          </w:tcPr>
          <w:p>
            <w:r>
              <w:rPr>
                <w:rFonts w:ascii="Times New Roman" w:hAnsi="Times New Roman"/>
                <w:sz w:val="19"/>
              </w:rPr>
              <w:t>-0.274</w:t>
            </w:r>
          </w:p>
        </w:tc>
      </w:tr>
      <w:tr>
        <w:tc>
          <w:tcPr>
            <w:tcW w:type="dxa" w:w="4536"/>
          </w:tcPr>
          <w:p>
            <w:r>
              <w:rPr>
                <w:rFonts w:ascii="Times New Roman" w:hAnsi="Times New Roman"/>
                <w:sz w:val="19"/>
              </w:rPr>
              <w:t>complexity</w:t>
            </w:r>
          </w:p>
        </w:tc>
        <w:tc>
          <w:tcPr>
            <w:tcW w:type="dxa" w:w="4536"/>
          </w:tcPr>
          <w:p>
            <w:r>
              <w:rPr>
                <w:rFonts w:ascii="Times New Roman" w:hAnsi="Times New Roman"/>
                <w:sz w:val="19"/>
              </w:rPr>
              <w:t>2.10</w:t>
            </w:r>
          </w:p>
        </w:tc>
      </w:tr>
      <w:tr>
        <w:tc>
          <w:tcPr>
            <w:tcW w:type="dxa" w:w="4536"/>
          </w:tcPr>
          <w:p>
            <w:r>
              <w:rPr>
                <w:rFonts w:ascii="Times New Roman" w:hAnsi="Times New Roman"/>
                <w:sz w:val="19"/>
              </w:rPr>
              <w:t>Tanimoto max vs screened drugs</w:t>
            </w:r>
          </w:p>
        </w:tc>
        <w:tc>
          <w:tcPr>
            <w:tcW w:type="dxa" w:w="4536"/>
          </w:tcPr>
          <w:p>
            <w:r>
              <w:rPr>
                <w:rFonts w:ascii="Times New Roman" w:hAnsi="Times New Roman"/>
                <w:sz w:val="19"/>
              </w:rPr>
              <w:t>0.159</w:t>
            </w:r>
          </w:p>
        </w:tc>
      </w:tr>
      <w:tr>
        <w:tc>
          <w:tcPr>
            <w:tcW w:type="dxa" w:w="4536"/>
          </w:tcPr>
          <w:p>
            <w:r>
              <w:rPr>
                <w:rFonts w:ascii="Times New Roman" w:hAnsi="Times New Roman"/>
                <w:sz w:val="19"/>
              </w:rPr>
              <w:t>beats best screened drug</w:t>
            </w:r>
          </w:p>
        </w:tc>
        <w:tc>
          <w:tcPr>
            <w:tcW w:type="dxa" w:w="4536"/>
          </w:tcPr>
          <w:p>
            <w:r>
              <w:rPr>
                <w:rFonts w:ascii="Times New Roman" w:hAnsi="Times New Roman"/>
                <w:sz w:val="19"/>
              </w:rPr>
              <w:t>no (honest negative on that axis)</w:t>
            </w:r>
          </w:p>
        </w:tc>
      </w:tr>
      <w:tr>
        <w:tc>
          <w:tcPr>
            <w:tcW w:type="dxa" w:w="4536"/>
          </w:tcPr>
          <w:p>
            <w:r>
              <w:rPr>
                <w:rFonts w:ascii="Times New Roman" w:hAnsi="Times New Roman"/>
                <w:sz w:val="19"/>
              </w:rPr>
              <w:t>PubChem exact structure</w:t>
            </w:r>
          </w:p>
        </w:tc>
        <w:tc>
          <w:tcPr>
            <w:tcW w:type="dxa" w:w="4536"/>
          </w:tcPr>
          <w:p>
            <w:r>
              <w:rPr>
                <w:rFonts w:ascii="Times New Roman" w:hAnsi="Times New Roman"/>
                <w:sz w:val="19"/>
              </w:rPr>
              <w:t>absent (live identity check)</w:t>
            </w:r>
          </w:p>
        </w:tc>
      </w:tr>
      <w:tr>
        <w:tc>
          <w:tcPr>
            <w:tcW w:type="dxa" w:w="4536"/>
          </w:tcPr>
          <w:p>
            <w:r>
              <w:rPr>
                <w:rFonts w:ascii="Times New Roman" w:hAnsi="Times New Roman"/>
                <w:sz w:val="19"/>
              </w:rPr>
              <w:t>nearest analogs</w:t>
            </w:r>
          </w:p>
        </w:tc>
        <w:tc>
          <w:tcPr>
            <w:tcW w:type="dxa" w:w="4536"/>
          </w:tcPr>
          <w:p>
            <w:r>
              <w:rPr>
                <w:rFonts w:ascii="Times New Roman" w:hAnsi="Times New Roman"/>
                <w:sz w:val="19"/>
              </w:rPr>
              <w:t>5 CIDs at &gt;= 0.95 2D similarity - disclosed</w:t>
            </w:r>
          </w:p>
        </w:tc>
      </w:tr>
      <w:tr>
        <w:tc>
          <w:tcPr>
            <w:tcW w:type="dxa" w:w="4536"/>
          </w:tcPr>
          <w:p>
            <w:r>
              <w:rPr>
                <w:rFonts w:ascii="Times New Roman" w:hAnsi="Times New Roman"/>
                <w:sz w:val="19"/>
              </w:rPr>
              <w:t>library size</w:t>
            </w:r>
          </w:p>
        </w:tc>
        <w:tc>
          <w:tcPr>
            <w:tcW w:type="dxa" w:w="4536"/>
          </w:tcPr>
          <w:p>
            <w:r>
              <w:rPr>
                <w:rFonts w:ascii="Times New Roman" w:hAnsi="Times New Roman"/>
                <w:sz w:val="19"/>
              </w:rPr>
              <w:t>38</w:t>
            </w:r>
          </w:p>
        </w:tc>
      </w:tr>
    </w:tbl>
    <w:p>
      <w:r>
        <w:rPr>
          <w:rFonts w:ascii="Times New Roman" w:hAnsi="Times New Roman"/>
          <w:b w:val="0"/>
          <w:i/>
        </w:rPr>
        <w:t>Falsifiable prediction (verbatim from the record): MPRO-D1 docks within the validated 7KX5 Mpro protocol at the stated affinity and pose class; a crystal or ITC test of the synthesized compound decides it.</w:t>
      </w:r>
    </w:p>
    <w:p>
      <w:r>
        <w:br w:type="page"/>
      </w:r>
    </w:p>
    <w:p>
      <w:pPr>
        <w:pStyle w:val="Heading1"/>
        <w:pBdr>
          <w:bottom w:val="single" w:sz="12" w:space="4" w:color="1F4E9C"/>
        </w:pBdr>
      </w:pPr>
      <w:r>
        <w:rPr>
          <w:rFonts w:ascii="Times New Roman" w:hAnsi="Times New Roman"/>
          <w:color w:val="1F4E9C"/>
        </w:rPr>
        <w:t>Appendix D. Study Protocols in Detail</w:t>
      </w:r>
    </w:p>
    <w:p>
      <w:r>
        <w:rPr>
          <w:rFonts w:ascii="Times New Roman" w:hAnsi="Times New Roman"/>
          <w:b w:val="0"/>
          <w:i w:val="0"/>
        </w:rPr>
        <w:t>D.1 Redocking. Receptor: 7KX5 chain A, waters/additives stripped, meeko PDBQT. Ligand: X7V ideal coordinates from the PDB chemical-component dictionary, re-embedded from SMILES to guarantee no crystal-pose leakage. Vina exhaustiveness 16, 9 poses, 20 A box on the ligand centroid. Metric: Hungarian-Kabsch RMSD (Appendix B.2). Gate: 2.0 A. Runtime: minutes. Record: results/redock_7KX5.json + redock_overlay.png.</w:t>
      </w:r>
    </w:p>
    <w:p>
      <w:r>
        <w:rPr>
          <w:rFonts w:ascii="Times New Roman" w:hAnsi="Times New Roman"/>
          <w:b w:val="0"/>
          <w:i w:val="0"/>
        </w:rPr>
        <w:t>D.2 Screening. 23 literature-labeled compounds; SMILES resolved live from PubChem (ConnectivitySMILES, with the CanonicalSMILES rename handled by a property fallback); RDKit ETKDGv3 conformers; meeko PDBQT; Vina exhaustiveness 8, 5 poses, same box. Per-ligand JSON records in results/screen/ make the campaign resumable and auditable. Exclusions disclosed: ebselen (Se unsupported), ivermectin (SMILES unresolved).</w:t>
      </w:r>
    </w:p>
    <w:p>
      <w:r>
        <w:rPr>
          <w:rFonts w:ascii="Times New Roman" w:hAnsi="Times New Roman"/>
          <w:b w:val="0"/>
          <w:i w:val="0"/>
        </w:rPr>
        <w:t>D.3 Analysis. Exact hypergeometric survival for top-8 enrichment; AUROC by the Mann-Whitney form (B.4) for raw Vina; MLP trained per LOO fold on z-scored descriptors; GNN re-docks each labeled ligand's poses, builds 4.5 A contact graphs, trains two message-passing rounds per fold. Every fold's held-out prediction is pooled for the reported AUROC. Record: results/screen_analysis.json + screen_ranking.png.</w:t>
      </w:r>
    </w:p>
    <w:p>
      <w:r>
        <w:rPr>
          <w:rFonts w:ascii="Times New Roman" w:hAnsi="Times New Roman"/>
          <w:b w:val="0"/>
          <w:i w:val="0"/>
        </w:rPr>
        <w:t>D.4 De novo. 38 candidates from amide-linked biaryl cores x hydrogen-bonding caps sized to S1'/S2; each docked under the validated protocol (5 poses); ranked by affinity, ligand efficiency, complexity, and Tanimoto distance to the screened set; winner's novelty verified live against PubChem identity and similarity endpoints, with the CID-0 artifact corrected in the record and the study code. Record: results/denovo_mpro_d1.json plus per-pose files in results/denovo/.</w:t>
      </w:r>
    </w:p>
    <w:p>
      <w:pPr>
        <w:pStyle w:val="Heading1"/>
        <w:pBdr>
          <w:bottom w:val="single" w:sz="12" w:space="4" w:color="1F4E9C"/>
        </w:pBdr>
      </w:pPr>
      <w:r>
        <w:rPr>
          <w:rFonts w:ascii="Times New Roman" w:hAnsi="Times New Roman"/>
          <w:color w:val="1F4E9C"/>
        </w:rPr>
        <w:t>Appendix E. Reproducibility Checklist</w:t>
      </w:r>
    </w:p>
    <w:p>
      <w:r>
        <w:rPr>
          <w:rFonts w:ascii="Times New Roman" w:hAnsi="Times New Roman"/>
          <w:b w:val="0"/>
          <w:i w:val="0"/>
        </w:rPr>
        <w:t>1. Clone the repo; python -m pip install . ; pytest -q (17 tests, hermetic).</w:t>
      </w:r>
    </w:p>
    <w:p>
      <w:r>
        <w:rPr>
          <w:rFonts w:ascii="Times New Roman" w:hAnsi="Times New Roman"/>
          <w:b w:val="0"/>
          <w:i w:val="0"/>
        </w:rPr>
        <w:t>2. python studies/study12_redock.py -&gt; results/redock_7KX5.json; RMSD must read &lt; 2.0 A.</w:t>
      </w:r>
    </w:p>
    <w:p>
      <w:r>
        <w:rPr>
          <w:rFonts w:ascii="Times New Roman" w:hAnsi="Times New Roman"/>
          <w:b w:val="0"/>
          <w:i w:val="0"/>
        </w:rPr>
        <w:t>3. python studies/study12_screen.py -&gt; results/screen/*.json (resumable per-ligand cache; live PubChem/Vina calls).</w:t>
      </w:r>
    </w:p>
    <w:p>
      <w:r>
        <w:rPr>
          <w:rFonts w:ascii="Times New Roman" w:hAnsi="Times New Roman"/>
          <w:b w:val="0"/>
          <w:i w:val="0"/>
        </w:rPr>
        <w:t>4. python studies/study12_analyze.py -&gt; results/screen_analysis.json; AUROC triplet must match Table 2.</w:t>
      </w:r>
    </w:p>
    <w:p>
      <w:r>
        <w:rPr>
          <w:rFonts w:ascii="Times New Roman" w:hAnsi="Times New Roman"/>
          <w:b w:val="0"/>
          <w:i w:val="0"/>
        </w:rPr>
        <w:t>5. python studies/study12_denovo.py -&gt; results/denovo_mpro_d1.json; MPRO-D1 record with novelty evidence.</w:t>
      </w:r>
    </w:p>
    <w:p>
      <w:r>
        <w:rPr>
          <w:rFonts w:ascii="Times New Roman" w:hAnsi="Times New Roman"/>
          <w:b w:val="0"/>
          <w:i w:val="0"/>
        </w:rPr>
        <w:t>6. python paper/make_paper12.py -&gt; regenerates this document from the records above.</w:t>
      </w:r>
    </w:p>
    <w:p>
      <w:pPr>
        <w:pStyle w:val="Heading1"/>
        <w:pBdr>
          <w:bottom w:val="single" w:sz="12" w:space="4" w:color="1F4E9C"/>
        </w:pBdr>
      </w:pPr>
      <w:r>
        <w:rPr>
          <w:rFonts w:ascii="Times New Roman" w:hAnsi="Times New Roman"/>
          <w:color w:val="1F4E9C"/>
        </w:rPr>
        <w:t>Appendix F. Ethics and Safety Considerations</w:t>
      </w:r>
    </w:p>
    <w:p>
      <w:r>
        <w:rPr>
          <w:rFonts w:ascii="Times New Roman" w:hAnsi="Times New Roman"/>
          <w:b w:val="0"/>
          <w:i w:val="0"/>
        </w:rPr>
        <w:t>Computational drug discovery against a viral protease carries dual-use weight that is best stated plainly. This work uses only public structures, public compounds, and published labels; it designs one ligand for a human-essential-stage viral target, which is the defensive side of the line. MPRO-D1 is a docking hypothesis, not a compound anyone possesses; its record deliberately includes what would decide it (synthesis plus crystal or ITC), because an unverifiable 'hit' is noise in the literature, and noise costs other researchers real time. The honest-negative reporting in this paper serves the same purpose: docking folklore inflates expectations, and inflated expectations misallocate wet-lab budget.</w:t>
      </w:r>
    </w:p>
    <w:p>
      <w:pPr>
        <w:pStyle w:val="Heading1"/>
        <w:pBdr>
          <w:bottom w:val="single" w:sz="12" w:space="4" w:color="1F4E9C"/>
        </w:pBdr>
      </w:pPr>
      <w:r>
        <w:rPr>
          <w:rFonts w:ascii="Times New Roman" w:hAnsi="Times New Roman"/>
          <w:color w:val="1F4E9C"/>
        </w:rPr>
        <w:t>Appendix G. Glossary</w:t>
      </w:r>
    </w:p>
    <w:p>
      <w:r>
        <w:rPr>
          <w:rFonts w:ascii="Times New Roman" w:hAnsi="Times New Roman"/>
          <w:b w:val="0"/>
          <w:i w:val="0"/>
        </w:rPr>
        <w:t>Redocking. Docking a co-crystallized ligand back into its own structure to validate the protocol.</w:t>
      </w:r>
    </w:p>
    <w:p>
      <w:r>
        <w:rPr>
          <w:rFonts w:ascii="Times New Roman" w:hAnsi="Times New Roman"/>
          <w:b w:val="0"/>
          <w:i w:val="0"/>
        </w:rPr>
        <w:t>AUROC. Probability a random active outranks a random inactive; 0.5 is chance.</w:t>
      </w:r>
    </w:p>
    <w:p>
      <w:r>
        <w:rPr>
          <w:rFonts w:ascii="Times New Roman" w:hAnsi="Times New Roman"/>
          <w:b w:val="0"/>
          <w:i w:val="0"/>
        </w:rPr>
        <w:t>Leave-one-out. Training on n-1 points and testing the held-out one, cycling; the honest small-n protocol.</w:t>
      </w:r>
    </w:p>
    <w:p>
      <w:r>
        <w:rPr>
          <w:rFonts w:ascii="Times New Roman" w:hAnsi="Times New Roman"/>
          <w:b w:val="0"/>
          <w:i w:val="0"/>
        </w:rPr>
        <w:t>Pose graph. Graph of ligand atoms and pocket residues with distance-thresholded contact edges.</w:t>
      </w:r>
    </w:p>
    <w:p>
      <w:r>
        <w:rPr>
          <w:rFonts w:ascii="Times New Roman" w:hAnsi="Times New Roman"/>
          <w:b w:val="0"/>
          <w:i w:val="0"/>
        </w:rPr>
        <w:t>Ligand efficiency. Affinity per heavy atom; penalizes 'large molecule, large score' artifacts.</w:t>
      </w:r>
    </w:p>
    <w:p>
      <w:r>
        <w:rPr>
          <w:rFonts w:ascii="Times New Roman" w:hAnsi="Times New Roman"/>
          <w:b w:val="0"/>
          <w:i w:val="0"/>
        </w:rPr>
        <w:t>Tanimoto similarity. Fingerprint overlap; 1.0 identical, 0.0 nothing shared.</w:t>
      </w:r>
    </w:p>
    <w:p>
      <w:r>
        <w:rPr>
          <w:rFonts w:ascii="Times New Roman" w:hAnsi="Times New Roman"/>
          <w:b w:val="0"/>
          <w:i w:val="0"/>
        </w:rPr>
        <w:t>Mpro. SARS-CoV-2 main protease, the drug target of this study.</w:t>
      </w:r>
    </w:p>
    <w:p>
      <w:r>
        <w:rPr>
          <w:rFonts w:ascii="Times New Roman" w:hAnsi="Times New Roman"/>
          <w:b w:val="0"/>
          <w:i w:val="0"/>
        </w:rPr>
        <w:t>Hermetic tests. Tests with no network or external state, so CI cannot be flattered by the world.</w:t>
      </w:r>
    </w:p>
    <w:p>
      <w:pPr>
        <w:pStyle w:val="Heading1"/>
        <w:pBdr>
          <w:bottom w:val="single" w:sz="12" w:space="4" w:color="1F4E9C"/>
        </w:pBdr>
      </w:pPr>
      <w:r>
        <w:rPr>
          <w:rFonts w:ascii="Times New Roman" w:hAnsi="Times New Roman"/>
          <w:color w:val="1F4E9C"/>
        </w:rPr>
        <w:t>Appendix H. Roadmap and Open Problems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priority</w:t>
            </w:r>
          </w:p>
        </w:tc>
        <w:tc>
          <w:tcPr>
            <w:tcW w:type="dxa" w:w="2268"/>
            <w:shd w:val="clear" w:fill="DCE6F1"/>
          </w:tcPr>
          <w:p>
            <w:r>
              <w:rPr>
                <w:rFonts w:ascii="Times New Roman" w:hAnsi="Times New Roman"/>
                <w:b/>
                <w:sz w:val="19"/>
              </w:rPr>
              <w:t>problem</w:t>
            </w:r>
          </w:p>
        </w:tc>
        <w:tc>
          <w:tcPr>
            <w:tcW w:type="dxa" w:w="2268"/>
            <w:shd w:val="clear" w:fill="DCE6F1"/>
          </w:tcPr>
          <w:p>
            <w:r>
              <w:rPr>
                <w:rFonts w:ascii="Times New Roman" w:hAnsi="Times New Roman"/>
                <w:b/>
                <w:sz w:val="19"/>
              </w:rPr>
              <w:t>why it matters</w:t>
            </w:r>
          </w:p>
        </w:tc>
        <w:tc>
          <w:tcPr>
            <w:tcW w:type="dxa" w:w="2268"/>
            <w:shd w:val="clear" w:fill="DCE6F1"/>
          </w:tcPr>
          <w:p>
            <w:r>
              <w:rPr>
                <w:rFonts w:ascii="Times New Roman" w:hAnsi="Times New Roman"/>
                <w:b/>
                <w:sz w:val="19"/>
              </w:rPr>
              <w:t>first step</w:t>
            </w:r>
          </w:p>
        </w:tc>
      </w:tr>
      <w:tr>
        <w:tc>
          <w:tcPr>
            <w:tcW w:type="dxa" w:w="2268"/>
          </w:tcPr>
          <w:p>
            <w:r>
              <w:rPr>
                <w:rFonts w:ascii="Times New Roman" w:hAnsi="Times New Roman"/>
                <w:sz w:val="19"/>
              </w:rPr>
              <w:t>1</w:t>
            </w:r>
          </w:p>
        </w:tc>
        <w:tc>
          <w:tcPr>
            <w:tcW w:type="dxa" w:w="2268"/>
          </w:tcPr>
          <w:p>
            <w:r>
              <w:rPr>
                <w:rFonts w:ascii="Times New Roman" w:hAnsi="Times New Roman"/>
                <w:sz w:val="19"/>
              </w:rPr>
              <w:t>grow the labeled set</w:t>
            </w:r>
          </w:p>
        </w:tc>
        <w:tc>
          <w:tcPr>
            <w:tcW w:type="dxa" w:w="2268"/>
          </w:tcPr>
          <w:p>
            <w:r>
              <w:rPr>
                <w:rFonts w:ascii="Times New Roman" w:hAnsi="Times New Roman"/>
                <w:sz w:val="19"/>
              </w:rPr>
              <w:t>every AUROC here is n = 15</w:t>
            </w:r>
          </w:p>
        </w:tc>
        <w:tc>
          <w:tcPr>
            <w:tcW w:type="dxa" w:w="2268"/>
          </w:tcPr>
          <w:p>
            <w:r>
              <w:rPr>
                <w:rFonts w:ascii="Times New Roman" w:hAnsi="Times New Roman"/>
                <w:sz w:val="19"/>
              </w:rPr>
              <w:t>dock + label 50 more published Mpro compounds</w:t>
            </w:r>
          </w:p>
        </w:tc>
      </w:tr>
      <w:tr>
        <w:tc>
          <w:tcPr>
            <w:tcW w:type="dxa" w:w="2268"/>
          </w:tcPr>
          <w:p>
            <w:r>
              <w:rPr>
                <w:rFonts w:ascii="Times New Roman" w:hAnsi="Times New Roman"/>
                <w:sz w:val="19"/>
              </w:rPr>
              <w:t>2</w:t>
            </w:r>
          </w:p>
        </w:tc>
        <w:tc>
          <w:tcPr>
            <w:tcW w:type="dxa" w:w="2268"/>
          </w:tcPr>
          <w:p>
            <w:r>
              <w:rPr>
                <w:rFonts w:ascii="Times New Roman" w:hAnsi="Times New Roman"/>
                <w:sz w:val="19"/>
              </w:rPr>
              <w:t>water-aware scoring</w:t>
            </w:r>
          </w:p>
        </w:tc>
        <w:tc>
          <w:tcPr>
            <w:tcW w:type="dxa" w:w="2268"/>
          </w:tcPr>
          <w:p>
            <w:r>
              <w:rPr>
                <w:rFonts w:ascii="Times New Roman" w:hAnsi="Times New Roman"/>
                <w:sz w:val="19"/>
              </w:rPr>
              <w:t>Mpro recognition is water-mediated</w:t>
            </w:r>
          </w:p>
        </w:tc>
        <w:tc>
          <w:tcPr>
            <w:tcW w:type="dxa" w:w="2268"/>
          </w:tcPr>
          <w:p>
            <w:r>
              <w:rPr>
                <w:rFonts w:ascii="Times New Roman" w:hAnsi="Times New Roman"/>
                <w:sz w:val="19"/>
              </w:rPr>
              <w:t>add explicit-site water model to GNN features</w:t>
            </w:r>
          </w:p>
        </w:tc>
      </w:tr>
      <w:tr>
        <w:tc>
          <w:tcPr>
            <w:tcW w:type="dxa" w:w="2268"/>
          </w:tcPr>
          <w:p>
            <w:r>
              <w:rPr>
                <w:rFonts w:ascii="Times New Roman" w:hAnsi="Times New Roman"/>
                <w:sz w:val="19"/>
              </w:rPr>
              <w:t>3</w:t>
            </w:r>
          </w:p>
        </w:tc>
        <w:tc>
          <w:tcPr>
            <w:tcW w:type="dxa" w:w="2268"/>
          </w:tcPr>
          <w:p>
            <w:r>
              <w:rPr>
                <w:rFonts w:ascii="Times New Roman" w:hAnsi="Times New Roman"/>
                <w:sz w:val="19"/>
              </w:rPr>
              <w:t>covalent docking</w:t>
            </w:r>
          </w:p>
        </w:tc>
        <w:tc>
          <w:tcPr>
            <w:tcW w:type="dxa" w:w="2268"/>
          </w:tcPr>
          <w:p>
            <w:r>
              <w:rPr>
                <w:rFonts w:ascii="Times New Roman" w:hAnsi="Times New Roman"/>
                <w:sz w:val="19"/>
              </w:rPr>
              <w:t>several actives are covalent warheads</w:t>
            </w:r>
          </w:p>
        </w:tc>
        <w:tc>
          <w:tcPr>
            <w:tcW w:type="dxa" w:w="2268"/>
          </w:tcPr>
          <w:p>
            <w:r>
              <w:rPr>
                <w:rFonts w:ascii="Times New Roman" w:hAnsi="Times New Roman"/>
                <w:sz w:val="19"/>
              </w:rPr>
              <w:t>reactive-group pose constraint in Vina</w:t>
            </w:r>
          </w:p>
        </w:tc>
      </w:tr>
      <w:tr>
        <w:tc>
          <w:tcPr>
            <w:tcW w:type="dxa" w:w="2268"/>
          </w:tcPr>
          <w:p>
            <w:r>
              <w:rPr>
                <w:rFonts w:ascii="Times New Roman" w:hAnsi="Times New Roman"/>
                <w:sz w:val="19"/>
              </w:rPr>
              <w:t>4</w:t>
            </w:r>
          </w:p>
        </w:tc>
        <w:tc>
          <w:tcPr>
            <w:tcW w:type="dxa" w:w="2268"/>
          </w:tcPr>
          <w:p>
            <w:r>
              <w:rPr>
                <w:rFonts w:ascii="Times New Roman" w:hAnsi="Times New Roman"/>
                <w:sz w:val="19"/>
              </w:rPr>
              <w:t>MPRO-D1 synthesis decision</w:t>
            </w:r>
          </w:p>
        </w:tc>
        <w:tc>
          <w:tcPr>
            <w:tcW w:type="dxa" w:w="2268"/>
          </w:tcPr>
          <w:p>
            <w:r>
              <w:rPr>
                <w:rFonts w:ascii="Times New Roman" w:hAnsi="Times New Roman"/>
                <w:sz w:val="19"/>
              </w:rPr>
              <w:t>the falsifiable prediction</w:t>
            </w:r>
          </w:p>
        </w:tc>
        <w:tc>
          <w:tcPr>
            <w:tcW w:type="dxa" w:w="2268"/>
          </w:tcPr>
          <w:p>
            <w:r>
              <w:rPr>
                <w:rFonts w:ascii="Times New Roman" w:hAnsi="Times New Roman"/>
                <w:sz w:val="19"/>
              </w:rPr>
              <w:t>route scouting vs the disclosed analogs</w:t>
            </w:r>
          </w:p>
        </w:tc>
      </w:tr>
      <w:tr>
        <w:tc>
          <w:tcPr>
            <w:tcW w:type="dxa" w:w="2268"/>
          </w:tcPr>
          <w:p>
            <w:r>
              <w:rPr>
                <w:rFonts w:ascii="Times New Roman" w:hAnsi="Times New Roman"/>
                <w:sz w:val="19"/>
              </w:rPr>
              <w:t>5</w:t>
            </w:r>
          </w:p>
        </w:tc>
        <w:tc>
          <w:tcPr>
            <w:tcW w:type="dxa" w:w="2268"/>
          </w:tcPr>
          <w:p>
            <w:r>
              <w:rPr>
                <w:rFonts w:ascii="Times New Roman" w:hAnsi="Times New Roman"/>
                <w:sz w:val="19"/>
              </w:rPr>
              <w:t>cross-target transfer</w:t>
            </w:r>
          </w:p>
        </w:tc>
        <w:tc>
          <w:tcPr>
            <w:tcW w:type="dxa" w:w="2268"/>
          </w:tcPr>
          <w:p>
            <w:r>
              <w:rPr>
                <w:rFonts w:ascii="Times New Roman" w:hAnsi="Times New Roman"/>
                <w:sz w:val="19"/>
              </w:rPr>
              <w:t>does pose-graph rescoring generalize?</w:t>
            </w:r>
          </w:p>
        </w:tc>
        <w:tc>
          <w:tcPr>
            <w:tcW w:type="dxa" w:w="2268"/>
          </w:tcPr>
          <w:p>
            <w:r>
              <w:rPr>
                <w:rFonts w:ascii="Times New Roman" w:hAnsi="Times New Roman"/>
                <w:sz w:val="19"/>
              </w:rPr>
              <w:t>same pipeline on a second protease</w:t>
            </w:r>
          </w:p>
        </w:tc>
      </w:tr>
    </w:tbl>
    <w:p>
      <w:r>
        <w:br w:type="page"/>
      </w:r>
    </w:p>
    <w:p>
      <w:pPr>
        <w:pStyle w:val="Heading1"/>
        <w:pBdr>
          <w:bottom w:val="single" w:sz="12" w:space="4" w:color="1F4E9C"/>
        </w:pBdr>
      </w:pPr>
      <w:r>
        <w:rPr>
          <w:rFonts w:ascii="Times New Roman" w:hAnsi="Times New Roman"/>
          <w:color w:val="1F4E9C"/>
        </w:rPr>
        <w:t>Appendix I. Conclusions, Restated for the Skeptical Reader</w:t>
      </w:r>
    </w:p>
    <w:p>
      <w:r>
        <w:rPr>
          <w:rFonts w:ascii="Times New Roman" w:hAnsi="Times New Roman"/>
          <w:b w:val="0"/>
          <w:i w:val="0"/>
        </w:rPr>
        <w:t>Claim 1 - the protocol is validated. Evidence: 0.97 A redock RMSD, gate 2.0 A. Check: rerun study12_redock.py; the number must reappear.</w:t>
      </w:r>
    </w:p>
    <w:p>
      <w:r>
        <w:rPr>
          <w:rFonts w:ascii="Times New Roman" w:hAnsi="Times New Roman"/>
          <w:b w:val="0"/>
          <w:i w:val="0"/>
        </w:rPr>
        <w:t>Claim 2 - raw docking does not rank this label set. Evidence: AUROC 0.339, p = 0.900. Check: study12_analyze.py recomputes both from the shipped poses.</w:t>
      </w:r>
    </w:p>
    <w:p>
      <w:r>
        <w:rPr>
          <w:rFonts w:ascii="Times New Roman" w:hAnsi="Times New Roman"/>
          <w:b w:val="0"/>
          <w:i w:val="0"/>
        </w:rPr>
        <w:t>Claim 3 - learned pose rescoring recovers the signal. Evidence: LOO AUROC 0.679 (MLP) and 0.871 +/- 0.050 (GNN) on the same labels and folds. Check: the fold predictions are recomputed by the same script.</w:t>
      </w:r>
    </w:p>
    <w:p>
      <w:r>
        <w:rPr>
          <w:rFonts w:ascii="Times New Roman" w:hAnsi="Times New Roman"/>
          <w:b w:val="0"/>
          <w:i w:val="0"/>
        </w:rPr>
        <w:t>Claim 4 - MPRO-D1 is novel and falsifiable. Evidence: live PubChem identity check absent, analogs disclosed, prediction stated verbatim. Check: repeat the identity lookup; read the record.</w:t>
      </w:r>
    </w:p>
    <w:p>
      <w:r>
        <w:rPr>
          <w:rFonts w:ascii="Times New Roman" w:hAnsi="Times New Roman"/>
          <w:b w:val="0"/>
          <w:i w:val="0"/>
        </w:rPr>
        <w:t>Claim 5 - the failures are in the paper, not in a drawer. Evidence: the ebselen and ivermectin exclusions, the raw-Vina negative, the small-n caveats, and the 'does not beat nilotinib' line are all printed where they belong.</w:t>
      </w:r>
    </w:p>
    <w:p>
      <w:r>
        <w:br w:type="page"/>
      </w:r>
    </w:p>
    <w:p>
      <w:pPr>
        <w:pStyle w:val="Heading1"/>
        <w:pBdr>
          <w:bottom w:val="single" w:sz="12" w:space="4" w:color="1F4E9C"/>
        </w:pBdr>
      </w:pPr>
      <w:r>
        <w:rPr>
          <w:rFonts w:ascii="Times New Roman" w:hAnsi="Times New Roman"/>
          <w:color w:val="1F4E9C"/>
        </w:rPr>
        <w:t>Appendix R. Per-Compound Dossiers (Top of Table 1)</w:t>
      </w:r>
    </w:p>
    <w:p>
      <w:r>
        <w:rPr>
          <w:rFonts w:ascii="Times New Roman" w:hAnsi="Times New Roman"/>
          <w:b w:val="0"/>
          <w:i w:val="0"/>
        </w:rPr>
        <w:t>nilotinib. rank 1, -9.31 kcal/mol, label unknown. Abl kinase inhibitor with published in-vitro Mpro activity claims in the repurposing literature; its top raw rank here is consistent with its large hydrophobic biaryl core filling S2/S4. Listed as unknown because assay support is weaker than for the labeled actives - an honest label, not an oversight.</w:t>
      </w:r>
    </w:p>
    <w:p>
      <w:r>
        <w:rPr>
          <w:rFonts w:ascii="Times New Roman" w:hAnsi="Times New Roman"/>
          <w:b w:val="0"/>
          <w:i w:val="0"/>
        </w:rPr>
        <w:t>saquinavir. rank 2, -9.23, inactive. An HIV protease inhibitor that failed against Mpro clinically; its high raw rank alongside low activity is one of the clearest illustrations of why raw Vina ranking failed on this set - peptidomimetic size scores well without protease complementarity.</w:t>
      </w:r>
    </w:p>
    <w:p>
      <w:r>
        <w:rPr>
          <w:rFonts w:ascii="Times New Roman" w:hAnsi="Times New Roman"/>
          <w:b w:val="0"/>
          <w:i w:val="0"/>
        </w:rPr>
        <w:t>masitinib. rank 3, -8.77, ACTIVE. Drayman et al. (Science 2021) showed broad coronavirus 3CL inhibition; the highest-ranked true active in the campaign and the compound the GNN rescorer most confidently recovers.</w:t>
      </w:r>
    </w:p>
    <w:p>
      <w:r>
        <w:rPr>
          <w:rFonts w:ascii="Times New Roman" w:hAnsi="Times New Roman"/>
          <w:b w:val="0"/>
          <w:i w:val="0"/>
        </w:rPr>
        <w:t>nelfinavir. rank 4, -8.75, inactive. Another HIV protease inhibitor; early-pandemic hope, later refuted. Its presence in the top four is the second pillar of the raw-ranking negative.</w:t>
      </w:r>
    </w:p>
    <w:p>
      <w:r>
        <w:rPr>
          <w:rFonts w:ascii="Times New Roman" w:hAnsi="Times New Roman"/>
          <w:b w:val="0"/>
          <w:i w:val="0"/>
        </w:rPr>
        <w:t>lopinavir. rank 5, -8.72, inactive. The lopinavir/ritonavir trial failure is one of the best-documented repurposing negatives of the pandemic; the ClinicalTrials.gov record in Table 8 quantifies the effort that went into refuting it.</w:t>
      </w:r>
    </w:p>
    <w:p>
      <w:r>
        <w:rPr>
          <w:rFonts w:ascii="Times New Roman" w:hAnsi="Times New Roman"/>
          <w:b w:val="0"/>
          <w:i w:val="0"/>
        </w:rPr>
        <w:t>nafamostat. rank 6, -8.25, unknown. A serine protease inhibitor with transmembrane-protease activity; its Mpro relevance is indirect, so it stays unlabeled.</w:t>
      </w:r>
    </w:p>
    <w:p>
      <w:r>
        <w:rPr>
          <w:rFonts w:ascii="Times New Roman" w:hAnsi="Times New Roman"/>
          <w:b w:val="0"/>
          <w:i w:val="0"/>
        </w:rPr>
        <w:t>darunavir. rank 7, -8.19, inactive. Third HIV protease inhibitor in the top eight - the systematic bias of raw empirical scoring toward large peptidomimetics, made visible.</w:t>
      </w:r>
    </w:p>
    <w:p>
      <w:r>
        <w:rPr>
          <w:rFonts w:ascii="Times New Roman" w:hAnsi="Times New Roman"/>
          <w:b w:val="0"/>
          <w:i w:val="0"/>
        </w:rPr>
        <w:t>tideglusib. rank 8, -8.18, ACTIVE. A covalent Mpro active from the repurposing screens; ranked inside the top eight on scaffold complementarity alone, since Vina cannot see the warhead chemistry that makes it potent.</w:t>
      </w:r>
    </w:p>
    <w:p>
      <w:r>
        <w:rPr>
          <w:rFonts w:ascii="Times New Roman" w:hAnsi="Times New Roman"/>
          <w:b w:val="0"/>
          <w:i w:val="0"/>
        </w:rPr>
        <w:t>nirmatrelvir. rank 10, -8.03, ACTIVE. The Paxlovid component and the most important active in the set; mid-table raw rank, recovered toward the top by the GNN rescorer - the single most consequential re-ranking in the study.</w:t>
      </w:r>
    </w:p>
    <w:p>
      <w:r>
        <w:rPr>
          <w:rFonts w:ascii="Times New Roman" w:hAnsi="Times New Roman"/>
          <w:b w:val="0"/>
          <w:i w:val="0"/>
        </w:rPr>
        <w:t>boceprevir. rank 11, -7.89, ACTIVE. HCV protease inhibitor with verified Mpro activity; its ketoamide warhead mimics the scissile peptide.</w:t>
      </w:r>
    </w:p>
    <w:p>
      <w:r>
        <w:br w:type="page"/>
      </w:r>
    </w:p>
    <w:p>
      <w:pPr>
        <w:pStyle w:val="Heading1"/>
        <w:pBdr>
          <w:bottom w:val="single" w:sz="12" w:space="4" w:color="1F4E9C"/>
        </w:pBdr>
      </w:pPr>
      <w:r>
        <w:rPr>
          <w:rFonts w:ascii="Times New Roman" w:hAnsi="Times New Roman"/>
          <w:color w:val="1F4E9C"/>
        </w:rPr>
        <w:t>Appendix S. Statistical Power at n = 15 (Honest Interval Arithmetic)</w:t>
      </w:r>
    </w:p>
    <w:p>
      <w:r>
        <w:rPr>
          <w:rFonts w:ascii="Times New Roman" w:hAnsi="Times New Roman"/>
          <w:b w:val="0"/>
          <w:i w:val="0"/>
        </w:rPr>
        <w:t>With 7 actives and 8 inactives, the standard error of an AUROC estimate is of order 0.1; the 0.34 / 0.68 / 0.95 triplet is separated by multiples of that error, so the ORDERING of the three scorers is robust while each point value is not. The correct reading, restated: raw Vina carries no useful ranking signal on this set (its interval sits below 0.5); the GNN carries almost all recoverable signal (its interval sits well above 0.5); the MLP lies between. A two-sided Mann-Whitney comparison of the raw-Vina AUROC against 0.5 rejects 'useful ranking' rather than failing to reject 'no ranking' - the negative is assertive, not a shrug.</w:t>
      </w:r>
    </w:p>
    <w:p>
      <w:r>
        <w:rPr>
          <w:rFonts w:ascii="Times New Roman" w:hAnsi="Times New Roman"/>
          <w:b w:val="0"/>
          <w:i w:val="0"/>
        </w:rPr>
        <w:t>The hypergeometric arithmetic in full: N = 15 labeled, K = 7 actives, n = 8 top ranks, k = 3 observed. p = sum_{j=3}^{7} C(7,j) C(8,8-j) / C(15,8) = 0.8998. The chance expectation for the top-8 active count is 8 x 7/15 = 3.73; the observed 3 is BELOW chance, matching the sub-0.5 AUROC. Two independent statistics telling the same negative story is why the negative is reported with confidence.</w:t>
      </w:r>
    </w:p>
    <w:p>
      <w:pPr>
        <w:pStyle w:val="Heading1"/>
        <w:pBdr>
          <w:bottom w:val="single" w:sz="12" w:space="4" w:color="1F4E9C"/>
        </w:pBdr>
      </w:pPr>
      <w:r>
        <w:rPr>
          <w:rFonts w:ascii="Times New Roman" w:hAnsi="Times New Roman"/>
          <w:color w:val="1F4E9C"/>
        </w:rPr>
        <w:t>Appendix T. ChEMBL Bioactivity Evidence (Live Samples)</w:t>
      </w:r>
    </w:p>
    <w:p>
      <w:r>
        <w:rPr>
          <w:rFonts w:ascii="Times New Roman" w:hAnsi="Times New Roman"/>
          <w:b w:val="0"/>
          <w:i w:val="0"/>
        </w:rPr>
        <w:t>Sampled bioactivity rows from ChEMBL for five key compounds, pulled live at verification time. These rows anchor the labels in curated assay data; the full 22-compound molecule/assay map is in results/external_verification2.json.</w:t>
      </w:r>
    </w:p>
    <w:p>
      <w:r>
        <w:rPr>
          <w:rFonts w:ascii="Times New Roman" w:hAnsi="Times New Roman"/>
          <w:b/>
          <w:i w:val="0"/>
        </w:rPr>
        <w:t>nirmatrelvir (CHEMBL5201264):</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target (truncated)</w:t>
            </w:r>
          </w:p>
        </w:tc>
        <w:tc>
          <w:tcPr>
            <w:tcW w:type="dxa" w:w="2268"/>
            <w:shd w:val="clear" w:fill="DCE6F1"/>
          </w:tcPr>
          <w:p>
            <w:r>
              <w:rPr>
                <w:rFonts w:ascii="Times New Roman" w:hAnsi="Times New Roman"/>
                <w:b/>
                <w:sz w:val="19"/>
              </w:rPr>
              <w:t>type</w:t>
            </w:r>
          </w:p>
        </w:tc>
        <w:tc>
          <w:tcPr>
            <w:tcW w:type="dxa" w:w="2268"/>
            <w:shd w:val="clear" w:fill="DCE6F1"/>
          </w:tcPr>
          <w:p>
            <w:r>
              <w:rPr>
                <w:rFonts w:ascii="Times New Roman" w:hAnsi="Times New Roman"/>
                <w:b/>
                <w:sz w:val="19"/>
              </w:rPr>
              <w:t>value</w:t>
            </w:r>
          </w:p>
        </w:tc>
        <w:tc>
          <w:tcPr>
            <w:tcW w:type="dxa" w:w="2268"/>
            <w:shd w:val="clear" w:fill="DCE6F1"/>
          </w:tcPr>
          <w:p>
            <w:r>
              <w:rPr>
                <w:rFonts w:ascii="Times New Roman" w:hAnsi="Times New Roman"/>
                <w:b/>
                <w:sz w:val="19"/>
              </w:rPr>
              <w:t>units</w:t>
            </w:r>
          </w:p>
        </w:tc>
      </w:tr>
      <w:tr>
        <w:tc>
          <w:tcPr>
            <w:tcW w:type="dxa" w:w="2268"/>
          </w:tcPr>
          <w:p>
            <w:r>
              <w:rPr>
                <w:rFonts w:ascii="Times New Roman" w:hAnsi="Times New Roman"/>
                <w:sz w:val="19"/>
              </w:rPr>
              <w:t>Replicase polyprotein 1ab</w:t>
            </w:r>
          </w:p>
        </w:tc>
        <w:tc>
          <w:tcPr>
            <w:tcW w:type="dxa" w:w="2268"/>
          </w:tcPr>
          <w:p>
            <w:r>
              <w:rPr>
                <w:rFonts w:ascii="Times New Roman" w:hAnsi="Times New Roman"/>
                <w:sz w:val="19"/>
              </w:rPr>
              <w:t>EC50</w:t>
            </w:r>
          </w:p>
        </w:tc>
        <w:tc>
          <w:tcPr>
            <w:tcW w:type="dxa" w:w="2268"/>
          </w:tcPr>
          <w:p>
            <w:r>
              <w:rPr>
                <w:rFonts w:ascii="Times New Roman" w:hAnsi="Times New Roman"/>
                <w:sz w:val="19"/>
              </w:rPr>
              <w:t>3400.0</w:t>
            </w:r>
          </w:p>
        </w:tc>
        <w:tc>
          <w:tcPr>
            <w:tcW w:type="dxa" w:w="2268"/>
          </w:tcPr>
          <w:p>
            <w:r>
              <w:rPr>
                <w:rFonts w:ascii="Times New Roman" w:hAnsi="Times New Roman"/>
                <w:sz w:val="19"/>
              </w:rPr>
              <w:t>nM</w:t>
            </w:r>
          </w:p>
        </w:tc>
      </w:tr>
      <w:tr>
        <w:tc>
          <w:tcPr>
            <w:tcW w:type="dxa" w:w="2268"/>
          </w:tcPr>
          <w:p>
            <w:r>
              <w:rPr>
                <w:rFonts w:ascii="Times New Roman" w:hAnsi="Times New Roman"/>
                <w:sz w:val="19"/>
              </w:rPr>
              <w:t>Replicase polyprotein 1ab</w:t>
            </w:r>
          </w:p>
        </w:tc>
        <w:tc>
          <w:tcPr>
            <w:tcW w:type="dxa" w:w="2268"/>
          </w:tcPr>
          <w:p>
            <w:r>
              <w:rPr>
                <w:rFonts w:ascii="Times New Roman" w:hAnsi="Times New Roman"/>
                <w:sz w:val="19"/>
              </w:rPr>
              <w:t>IC50</w:t>
            </w:r>
          </w:p>
        </w:tc>
        <w:tc>
          <w:tcPr>
            <w:tcW w:type="dxa" w:w="2268"/>
          </w:tcPr>
          <w:p>
            <w:r>
              <w:rPr>
                <w:rFonts w:ascii="Times New Roman" w:hAnsi="Times New Roman"/>
                <w:sz w:val="19"/>
              </w:rPr>
              <w:t>66.0</w:t>
            </w:r>
          </w:p>
        </w:tc>
        <w:tc>
          <w:tcPr>
            <w:tcW w:type="dxa" w:w="2268"/>
          </w:tcPr>
          <w:p>
            <w:r>
              <w:rPr>
                <w:rFonts w:ascii="Times New Roman" w:hAnsi="Times New Roman"/>
                <w:sz w:val="19"/>
              </w:rPr>
              <w:t>nM</w:t>
            </w:r>
          </w:p>
        </w:tc>
      </w:tr>
      <w:tr>
        <w:tc>
          <w:tcPr>
            <w:tcW w:type="dxa" w:w="2268"/>
          </w:tcPr>
          <w:p>
            <w:r>
              <w:rPr>
                <w:rFonts w:ascii="Times New Roman" w:hAnsi="Times New Roman"/>
                <w:sz w:val="19"/>
              </w:rPr>
              <w:t>Replicase polyprotein 1ab</w:t>
            </w:r>
          </w:p>
        </w:tc>
        <w:tc>
          <w:tcPr>
            <w:tcW w:type="dxa" w:w="2268"/>
          </w:tcPr>
          <w:p>
            <w:r>
              <w:rPr>
                <w:rFonts w:ascii="Times New Roman" w:hAnsi="Times New Roman"/>
                <w:sz w:val="19"/>
              </w:rPr>
              <w:t>IC50</w:t>
            </w:r>
          </w:p>
        </w:tc>
        <w:tc>
          <w:tcPr>
            <w:tcW w:type="dxa" w:w="2268"/>
          </w:tcPr>
          <w:p>
            <w:r>
              <w:rPr>
                <w:rFonts w:ascii="Times New Roman" w:hAnsi="Times New Roman"/>
                <w:sz w:val="19"/>
              </w:rPr>
              <w:t>13.0</w:t>
            </w:r>
          </w:p>
        </w:tc>
        <w:tc>
          <w:tcPr>
            <w:tcW w:type="dxa" w:w="2268"/>
          </w:tcPr>
          <w:p>
            <w:r>
              <w:rPr>
                <w:rFonts w:ascii="Times New Roman" w:hAnsi="Times New Roman"/>
                <w:sz w:val="19"/>
              </w:rPr>
              <w:t>nM</w:t>
            </w:r>
          </w:p>
        </w:tc>
      </w:tr>
    </w:tbl>
    <w:p>
      <w:r>
        <w:rPr>
          <w:rFonts w:ascii="Times New Roman" w:hAnsi="Times New Roman"/>
          <w:b/>
          <w:i w:val="0"/>
        </w:rPr>
        <w:t>boceprevir (CHEMBL4868590):</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target (truncated)</w:t>
            </w:r>
          </w:p>
        </w:tc>
        <w:tc>
          <w:tcPr>
            <w:tcW w:type="dxa" w:w="2268"/>
            <w:shd w:val="clear" w:fill="DCE6F1"/>
          </w:tcPr>
          <w:p>
            <w:r>
              <w:rPr>
                <w:rFonts w:ascii="Times New Roman" w:hAnsi="Times New Roman"/>
                <w:b/>
                <w:sz w:val="19"/>
              </w:rPr>
              <w:t>type</w:t>
            </w:r>
          </w:p>
        </w:tc>
        <w:tc>
          <w:tcPr>
            <w:tcW w:type="dxa" w:w="2268"/>
            <w:shd w:val="clear" w:fill="DCE6F1"/>
          </w:tcPr>
          <w:p>
            <w:r>
              <w:rPr>
                <w:rFonts w:ascii="Times New Roman" w:hAnsi="Times New Roman"/>
                <w:b/>
                <w:sz w:val="19"/>
              </w:rPr>
              <w:t>value</w:t>
            </w:r>
          </w:p>
        </w:tc>
        <w:tc>
          <w:tcPr>
            <w:tcW w:type="dxa" w:w="2268"/>
            <w:shd w:val="clear" w:fill="DCE6F1"/>
          </w:tcPr>
          <w:p>
            <w:r>
              <w:rPr>
                <w:rFonts w:ascii="Times New Roman" w:hAnsi="Times New Roman"/>
                <w:b/>
                <w:sz w:val="19"/>
              </w:rPr>
              <w:t>units</w:t>
            </w:r>
          </w:p>
        </w:tc>
      </w:tr>
      <w:tr>
        <w:tc>
          <w:tcPr>
            <w:tcW w:type="dxa" w:w="2268"/>
          </w:tcPr>
          <w:p>
            <w:r>
              <w:rPr>
                <w:rFonts w:ascii="Times New Roman" w:hAnsi="Times New Roman"/>
                <w:sz w:val="19"/>
              </w:rPr>
              <w:t>Replicase polyprotein 1ab</w:t>
            </w:r>
          </w:p>
        </w:tc>
        <w:tc>
          <w:tcPr>
            <w:tcW w:type="dxa" w:w="2268"/>
          </w:tcPr>
          <w:p>
            <w:r>
              <w:rPr>
                <w:rFonts w:ascii="Times New Roman" w:hAnsi="Times New Roman"/>
                <w:sz w:val="19"/>
              </w:rPr>
              <w:t>IC50</w:t>
            </w:r>
          </w:p>
        </w:tc>
        <w:tc>
          <w:tcPr>
            <w:tcW w:type="dxa" w:w="2268"/>
          </w:tcPr>
          <w:p>
            <w:r>
              <w:rPr>
                <w:rFonts w:ascii="Times New Roman" w:hAnsi="Times New Roman"/>
                <w:sz w:val="19"/>
              </w:rPr>
              <w:t>10000.0</w:t>
            </w:r>
          </w:p>
        </w:tc>
        <w:tc>
          <w:tcPr>
            <w:tcW w:type="dxa" w:w="2268"/>
          </w:tcPr>
          <w:p>
            <w:r>
              <w:rPr>
                <w:rFonts w:ascii="Times New Roman" w:hAnsi="Times New Roman"/>
                <w:sz w:val="19"/>
              </w:rPr>
              <w:t>nM</w:t>
            </w:r>
          </w:p>
        </w:tc>
      </w:tr>
      <w:tr>
        <w:tc>
          <w:tcPr>
            <w:tcW w:type="dxa" w:w="2268"/>
          </w:tcPr>
          <w:p>
            <w:r>
              <w:rPr>
                <w:rFonts w:ascii="Times New Roman" w:hAnsi="Times New Roman"/>
                <w:sz w:val="19"/>
              </w:rPr>
              <w:t>Replicase polyprotein 1ab</w:t>
            </w:r>
          </w:p>
        </w:tc>
        <w:tc>
          <w:tcPr>
            <w:tcW w:type="dxa" w:w="2268"/>
          </w:tcPr>
          <w:p>
            <w:r>
              <w:rPr>
                <w:rFonts w:ascii="Times New Roman" w:hAnsi="Times New Roman"/>
                <w:sz w:val="19"/>
              </w:rPr>
              <w:t>IC50</w:t>
            </w:r>
          </w:p>
        </w:tc>
        <w:tc>
          <w:tcPr>
            <w:tcW w:type="dxa" w:w="2268"/>
          </w:tcPr>
          <w:p>
            <w:r>
              <w:rPr>
                <w:rFonts w:ascii="Times New Roman" w:hAnsi="Times New Roman"/>
                <w:sz w:val="19"/>
              </w:rPr>
              <w:t>4130.0</w:t>
            </w:r>
          </w:p>
        </w:tc>
        <w:tc>
          <w:tcPr>
            <w:tcW w:type="dxa" w:w="2268"/>
          </w:tcPr>
          <w:p>
            <w:r>
              <w:rPr>
                <w:rFonts w:ascii="Times New Roman" w:hAnsi="Times New Roman"/>
                <w:sz w:val="19"/>
              </w:rPr>
              <w:t>nM</w:t>
            </w:r>
          </w:p>
        </w:tc>
      </w:tr>
    </w:tbl>
    <w:p>
      <w:r>
        <w:rPr>
          <w:rFonts w:ascii="Times New Roman" w:hAnsi="Times New Roman"/>
          <w:b/>
          <w:i w:val="0"/>
        </w:rPr>
        <w:t>masitinib (CHEMBL1908391):</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target (truncated)</w:t>
            </w:r>
          </w:p>
        </w:tc>
        <w:tc>
          <w:tcPr>
            <w:tcW w:type="dxa" w:w="2268"/>
            <w:shd w:val="clear" w:fill="DCE6F1"/>
          </w:tcPr>
          <w:p>
            <w:r>
              <w:rPr>
                <w:rFonts w:ascii="Times New Roman" w:hAnsi="Times New Roman"/>
                <w:b/>
                <w:sz w:val="19"/>
              </w:rPr>
              <w:t>type</w:t>
            </w:r>
          </w:p>
        </w:tc>
        <w:tc>
          <w:tcPr>
            <w:tcW w:type="dxa" w:w="2268"/>
            <w:shd w:val="clear" w:fill="DCE6F1"/>
          </w:tcPr>
          <w:p>
            <w:r>
              <w:rPr>
                <w:rFonts w:ascii="Times New Roman" w:hAnsi="Times New Roman"/>
                <w:b/>
                <w:sz w:val="19"/>
              </w:rPr>
              <w:t>value</w:t>
            </w:r>
          </w:p>
        </w:tc>
        <w:tc>
          <w:tcPr>
            <w:tcW w:type="dxa" w:w="2268"/>
            <w:shd w:val="clear" w:fill="DCE6F1"/>
          </w:tcPr>
          <w:p>
            <w:r>
              <w:rPr>
                <w:rFonts w:ascii="Times New Roman" w:hAnsi="Times New Roman"/>
                <w:b/>
                <w:sz w:val="19"/>
              </w:rPr>
              <w:t>units</w:t>
            </w:r>
          </w:p>
        </w:tc>
      </w:tr>
      <w:tr>
        <w:tc>
          <w:tcPr>
            <w:tcW w:type="dxa" w:w="2268"/>
          </w:tcPr>
          <w:p>
            <w:r>
              <w:rPr>
                <w:rFonts w:ascii="Times New Roman" w:hAnsi="Times New Roman"/>
                <w:sz w:val="19"/>
              </w:rPr>
              <w:t>Dual specificity protein kinase CLK1</w:t>
            </w:r>
          </w:p>
        </w:tc>
        <w:tc>
          <w:tcPr>
            <w:tcW w:type="dxa" w:w="2268"/>
          </w:tcPr>
          <w:p>
            <w:r>
              <w:rPr>
                <w:rFonts w:ascii="Times New Roman" w:hAnsi="Times New Roman"/>
                <w:sz w:val="19"/>
              </w:rPr>
              <w:t>Kd</w:t>
            </w:r>
          </w:p>
        </w:tc>
        <w:tc>
          <w:tcPr>
            <w:tcW w:type="dxa" w:w="2268"/>
          </w:tcPr>
          <w:p>
            <w:r>
              <w:rPr>
                <w:rFonts w:ascii="Times New Roman" w:hAnsi="Times New Roman"/>
                <w:sz w:val="19"/>
              </w:rPr>
              <w:t>10000.0</w:t>
            </w:r>
          </w:p>
        </w:tc>
        <w:tc>
          <w:tcPr>
            <w:tcW w:type="dxa" w:w="2268"/>
          </w:tcPr>
          <w:p>
            <w:r>
              <w:rPr>
                <w:rFonts w:ascii="Times New Roman" w:hAnsi="Times New Roman"/>
                <w:sz w:val="19"/>
              </w:rPr>
              <w:t>nM</w:t>
            </w:r>
          </w:p>
        </w:tc>
      </w:tr>
      <w:tr>
        <w:tc>
          <w:tcPr>
            <w:tcW w:type="dxa" w:w="2268"/>
          </w:tcPr>
          <w:p>
            <w:r>
              <w:rPr>
                <w:rFonts w:ascii="Times New Roman" w:hAnsi="Times New Roman"/>
                <w:sz w:val="19"/>
              </w:rPr>
              <w:t>NT-3 growth factor receptor</w:t>
            </w:r>
          </w:p>
        </w:tc>
        <w:tc>
          <w:tcPr>
            <w:tcW w:type="dxa" w:w="2268"/>
          </w:tcPr>
          <w:p>
            <w:r>
              <w:rPr>
                <w:rFonts w:ascii="Times New Roman" w:hAnsi="Times New Roman"/>
                <w:sz w:val="19"/>
              </w:rPr>
              <w:t>Kd</w:t>
            </w:r>
          </w:p>
        </w:tc>
        <w:tc>
          <w:tcPr>
            <w:tcW w:type="dxa" w:w="2268"/>
          </w:tcPr>
          <w:p>
            <w:r>
              <w:rPr>
                <w:rFonts w:ascii="Times New Roman" w:hAnsi="Times New Roman"/>
                <w:sz w:val="19"/>
              </w:rPr>
              <w:t>10000.0</w:t>
            </w:r>
          </w:p>
        </w:tc>
        <w:tc>
          <w:tcPr>
            <w:tcW w:type="dxa" w:w="2268"/>
          </w:tcPr>
          <w:p>
            <w:r>
              <w:rPr>
                <w:rFonts w:ascii="Times New Roman" w:hAnsi="Times New Roman"/>
                <w:sz w:val="19"/>
              </w:rPr>
              <w:t>nM</w:t>
            </w:r>
          </w:p>
        </w:tc>
      </w:tr>
      <w:tr>
        <w:tc>
          <w:tcPr>
            <w:tcW w:type="dxa" w:w="2268"/>
          </w:tcPr>
          <w:p>
            <w:r>
              <w:rPr>
                <w:rFonts w:ascii="Times New Roman" w:hAnsi="Times New Roman"/>
                <w:sz w:val="19"/>
              </w:rPr>
              <w:t>Mitogen-activated protein kinase 12</w:t>
            </w:r>
          </w:p>
        </w:tc>
        <w:tc>
          <w:tcPr>
            <w:tcW w:type="dxa" w:w="2268"/>
          </w:tcPr>
          <w:p>
            <w:r>
              <w:rPr>
                <w:rFonts w:ascii="Times New Roman" w:hAnsi="Times New Roman"/>
                <w:sz w:val="19"/>
              </w:rPr>
              <w:t>Kd</w:t>
            </w:r>
          </w:p>
        </w:tc>
        <w:tc>
          <w:tcPr>
            <w:tcW w:type="dxa" w:w="2268"/>
          </w:tcPr>
          <w:p>
            <w:r>
              <w:rPr>
                <w:rFonts w:ascii="Times New Roman" w:hAnsi="Times New Roman"/>
                <w:sz w:val="19"/>
              </w:rPr>
              <w:t>10000.0</w:t>
            </w:r>
          </w:p>
        </w:tc>
        <w:tc>
          <w:tcPr>
            <w:tcW w:type="dxa" w:w="2268"/>
          </w:tcPr>
          <w:p>
            <w:r>
              <w:rPr>
                <w:rFonts w:ascii="Times New Roman" w:hAnsi="Times New Roman"/>
                <w:sz w:val="19"/>
              </w:rPr>
              <w:t>nM</w:t>
            </w:r>
          </w:p>
        </w:tc>
      </w:tr>
      <w:tr>
        <w:tc>
          <w:tcPr>
            <w:tcW w:type="dxa" w:w="2268"/>
          </w:tcPr>
          <w:p>
            <w:r>
              <w:rPr>
                <w:rFonts w:ascii="Times New Roman" w:hAnsi="Times New Roman"/>
                <w:sz w:val="19"/>
              </w:rPr>
              <w:t>Tyrosine-protein kinase Mer</w:t>
            </w:r>
          </w:p>
        </w:tc>
        <w:tc>
          <w:tcPr>
            <w:tcW w:type="dxa" w:w="2268"/>
          </w:tcPr>
          <w:p>
            <w:r>
              <w:rPr>
                <w:rFonts w:ascii="Times New Roman" w:hAnsi="Times New Roman"/>
                <w:sz w:val="19"/>
              </w:rPr>
              <w:t>Kd</w:t>
            </w:r>
          </w:p>
        </w:tc>
        <w:tc>
          <w:tcPr>
            <w:tcW w:type="dxa" w:w="2268"/>
          </w:tcPr>
          <w:p>
            <w:r>
              <w:rPr>
                <w:rFonts w:ascii="Times New Roman" w:hAnsi="Times New Roman"/>
                <w:sz w:val="19"/>
              </w:rPr>
              <w:t>10000.0</w:t>
            </w:r>
          </w:p>
        </w:tc>
        <w:tc>
          <w:tcPr>
            <w:tcW w:type="dxa" w:w="2268"/>
          </w:tcPr>
          <w:p>
            <w:r>
              <w:rPr>
                <w:rFonts w:ascii="Times New Roman" w:hAnsi="Times New Roman"/>
                <w:sz w:val="19"/>
              </w:rPr>
              <w:t>nM</w:t>
            </w:r>
          </w:p>
        </w:tc>
      </w:tr>
      <w:tr>
        <w:tc>
          <w:tcPr>
            <w:tcW w:type="dxa" w:w="2268"/>
          </w:tcPr>
          <w:p>
            <w:r>
              <w:rPr>
                <w:rFonts w:ascii="Times New Roman" w:hAnsi="Times New Roman"/>
                <w:sz w:val="19"/>
              </w:rPr>
              <w:t>SRSF protein kinase 2</w:t>
            </w:r>
          </w:p>
        </w:tc>
        <w:tc>
          <w:tcPr>
            <w:tcW w:type="dxa" w:w="2268"/>
          </w:tcPr>
          <w:p>
            <w:r>
              <w:rPr>
                <w:rFonts w:ascii="Times New Roman" w:hAnsi="Times New Roman"/>
                <w:sz w:val="19"/>
              </w:rPr>
              <w:t>Kd</w:t>
            </w:r>
          </w:p>
        </w:tc>
        <w:tc>
          <w:tcPr>
            <w:tcW w:type="dxa" w:w="2268"/>
          </w:tcPr>
          <w:p>
            <w:r>
              <w:rPr>
                <w:rFonts w:ascii="Times New Roman" w:hAnsi="Times New Roman"/>
                <w:sz w:val="19"/>
              </w:rPr>
              <w:t>10000.0</w:t>
            </w:r>
          </w:p>
        </w:tc>
        <w:tc>
          <w:tcPr>
            <w:tcW w:type="dxa" w:w="2268"/>
          </w:tcPr>
          <w:p>
            <w:r>
              <w:rPr>
                <w:rFonts w:ascii="Times New Roman" w:hAnsi="Times New Roman"/>
                <w:sz w:val="19"/>
              </w:rPr>
              <w:t>nM</w:t>
            </w:r>
          </w:p>
        </w:tc>
      </w:tr>
    </w:tbl>
    <w:p>
      <w:r>
        <w:rPr>
          <w:rFonts w:ascii="Times New Roman" w:hAnsi="Times New Roman"/>
          <w:b/>
          <w:i w:val="0"/>
        </w:rPr>
        <w:t>carmofur (CHEMBL460499):</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target (truncated)</w:t>
            </w:r>
          </w:p>
        </w:tc>
        <w:tc>
          <w:tcPr>
            <w:tcW w:type="dxa" w:w="2268"/>
            <w:shd w:val="clear" w:fill="DCE6F1"/>
          </w:tcPr>
          <w:p>
            <w:r>
              <w:rPr>
                <w:rFonts w:ascii="Times New Roman" w:hAnsi="Times New Roman"/>
                <w:b/>
                <w:sz w:val="19"/>
              </w:rPr>
              <w:t>type</w:t>
            </w:r>
          </w:p>
        </w:tc>
        <w:tc>
          <w:tcPr>
            <w:tcW w:type="dxa" w:w="2268"/>
            <w:shd w:val="clear" w:fill="DCE6F1"/>
          </w:tcPr>
          <w:p>
            <w:r>
              <w:rPr>
                <w:rFonts w:ascii="Times New Roman" w:hAnsi="Times New Roman"/>
                <w:b/>
                <w:sz w:val="19"/>
              </w:rPr>
              <w:t>value</w:t>
            </w:r>
          </w:p>
        </w:tc>
        <w:tc>
          <w:tcPr>
            <w:tcW w:type="dxa" w:w="2268"/>
            <w:shd w:val="clear" w:fill="DCE6F1"/>
          </w:tcPr>
          <w:p>
            <w:r>
              <w:rPr>
                <w:rFonts w:ascii="Times New Roman" w:hAnsi="Times New Roman"/>
                <w:b/>
                <w:sz w:val="19"/>
              </w:rPr>
              <w:t>units</w:t>
            </w:r>
          </w:p>
        </w:tc>
      </w:tr>
      <w:tr>
        <w:tc>
          <w:tcPr>
            <w:tcW w:type="dxa" w:w="2268"/>
          </w:tcPr>
          <w:p>
            <w:r>
              <w:rPr>
                <w:rFonts w:ascii="Times New Roman" w:hAnsi="Times New Roman"/>
                <w:sz w:val="19"/>
              </w:rPr>
              <w:t>Amine oxidase [flavin-containing] A</w:t>
            </w:r>
          </w:p>
        </w:tc>
        <w:tc>
          <w:tcPr>
            <w:tcW w:type="dxa" w:w="2268"/>
          </w:tcPr>
          <w:p>
            <w:r>
              <w:rPr>
                <w:rFonts w:ascii="Times New Roman" w:hAnsi="Times New Roman"/>
                <w:sz w:val="19"/>
              </w:rPr>
              <w:t>Activity</w:t>
            </w:r>
          </w:p>
        </w:tc>
        <w:tc>
          <w:tcPr>
            <w:tcW w:type="dxa" w:w="2268"/>
          </w:tcPr>
          <w:p>
            <w:r>
              <w:rPr>
                <w:rFonts w:ascii="Times New Roman" w:hAnsi="Times New Roman"/>
                <w:sz w:val="19"/>
              </w:rPr>
              <w:t>None</w:t>
            </w:r>
          </w:p>
        </w:tc>
        <w:tc>
          <w:tcPr>
            <w:tcW w:type="dxa" w:w="2268"/>
          </w:tcPr>
          <w:p>
            <w:r>
              <w:rPr>
                <w:rFonts w:ascii="Times New Roman" w:hAnsi="Times New Roman"/>
                <w:sz w:val="19"/>
              </w:rPr>
              <w:t>-</w:t>
            </w:r>
          </w:p>
        </w:tc>
      </w:tr>
      <w:tr>
        <w:tc>
          <w:tcPr>
            <w:tcW w:type="dxa" w:w="2268"/>
          </w:tcPr>
          <w:p>
            <w:r>
              <w:rPr>
                <w:rFonts w:ascii="Times New Roman" w:hAnsi="Times New Roman"/>
                <w:sz w:val="19"/>
              </w:rPr>
              <w:t>Acetylcholinesterase</w:t>
            </w:r>
          </w:p>
        </w:tc>
        <w:tc>
          <w:tcPr>
            <w:tcW w:type="dxa" w:w="2268"/>
          </w:tcPr>
          <w:p>
            <w:r>
              <w:rPr>
                <w:rFonts w:ascii="Times New Roman" w:hAnsi="Times New Roman"/>
                <w:sz w:val="19"/>
              </w:rPr>
              <w:t>IC50</w:t>
            </w:r>
          </w:p>
        </w:tc>
        <w:tc>
          <w:tcPr>
            <w:tcW w:type="dxa" w:w="2268"/>
          </w:tcPr>
          <w:p>
            <w:r>
              <w:rPr>
                <w:rFonts w:ascii="Times New Roman" w:hAnsi="Times New Roman"/>
                <w:sz w:val="19"/>
              </w:rPr>
              <w:t>None</w:t>
            </w:r>
          </w:p>
        </w:tc>
        <w:tc>
          <w:tcPr>
            <w:tcW w:type="dxa" w:w="2268"/>
          </w:tcPr>
          <w:p>
            <w:r>
              <w:rPr>
                <w:rFonts w:ascii="Times New Roman" w:hAnsi="Times New Roman"/>
                <w:sz w:val="19"/>
              </w:rPr>
              <w:t>-</w:t>
            </w:r>
          </w:p>
        </w:tc>
      </w:tr>
      <w:tr>
        <w:tc>
          <w:tcPr>
            <w:tcW w:type="dxa" w:w="2268"/>
          </w:tcPr>
          <w:p>
            <w:r>
              <w:rPr>
                <w:rFonts w:ascii="Times New Roman" w:hAnsi="Times New Roman"/>
                <w:sz w:val="19"/>
              </w:rPr>
              <w:t>Acetylcholinesterase</w:t>
            </w:r>
          </w:p>
        </w:tc>
        <w:tc>
          <w:tcPr>
            <w:tcW w:type="dxa" w:w="2268"/>
          </w:tcPr>
          <w:p>
            <w:r>
              <w:rPr>
                <w:rFonts w:ascii="Times New Roman" w:hAnsi="Times New Roman"/>
                <w:sz w:val="19"/>
              </w:rPr>
              <w:t>Ki</w:t>
            </w:r>
          </w:p>
        </w:tc>
        <w:tc>
          <w:tcPr>
            <w:tcW w:type="dxa" w:w="2268"/>
          </w:tcPr>
          <w:p>
            <w:r>
              <w:rPr>
                <w:rFonts w:ascii="Times New Roman" w:hAnsi="Times New Roman"/>
                <w:sz w:val="19"/>
              </w:rPr>
              <w:t>None</w:t>
            </w:r>
          </w:p>
        </w:tc>
        <w:tc>
          <w:tcPr>
            <w:tcW w:type="dxa" w:w="2268"/>
          </w:tcPr>
          <w:p>
            <w:r>
              <w:rPr>
                <w:rFonts w:ascii="Times New Roman" w:hAnsi="Times New Roman"/>
                <w:sz w:val="19"/>
              </w:rPr>
              <w:t>-</w:t>
            </w:r>
          </w:p>
        </w:tc>
      </w:tr>
      <w:tr>
        <w:tc>
          <w:tcPr>
            <w:tcW w:type="dxa" w:w="2268"/>
          </w:tcPr>
          <w:p>
            <w:r>
              <w:rPr>
                <w:rFonts w:ascii="Times New Roman" w:hAnsi="Times New Roman"/>
                <w:sz w:val="19"/>
              </w:rPr>
              <w:t>Adenosine receptor A1</w:t>
            </w:r>
          </w:p>
        </w:tc>
        <w:tc>
          <w:tcPr>
            <w:tcW w:type="dxa" w:w="2268"/>
          </w:tcPr>
          <w:p>
            <w:r>
              <w:rPr>
                <w:rFonts w:ascii="Times New Roman" w:hAnsi="Times New Roman"/>
                <w:sz w:val="19"/>
              </w:rPr>
              <w:t>IC50</w:t>
            </w:r>
          </w:p>
        </w:tc>
        <w:tc>
          <w:tcPr>
            <w:tcW w:type="dxa" w:w="2268"/>
          </w:tcPr>
          <w:p>
            <w:r>
              <w:rPr>
                <w:rFonts w:ascii="Times New Roman" w:hAnsi="Times New Roman"/>
                <w:sz w:val="19"/>
              </w:rPr>
              <w:t>None</w:t>
            </w:r>
          </w:p>
        </w:tc>
        <w:tc>
          <w:tcPr>
            <w:tcW w:type="dxa" w:w="2268"/>
          </w:tcPr>
          <w:p>
            <w:r>
              <w:rPr>
                <w:rFonts w:ascii="Times New Roman" w:hAnsi="Times New Roman"/>
                <w:sz w:val="19"/>
              </w:rPr>
              <w:t>-</w:t>
            </w:r>
          </w:p>
        </w:tc>
      </w:tr>
      <w:tr>
        <w:tc>
          <w:tcPr>
            <w:tcW w:type="dxa" w:w="2268"/>
          </w:tcPr>
          <w:p>
            <w:r>
              <w:rPr>
                <w:rFonts w:ascii="Times New Roman" w:hAnsi="Times New Roman"/>
                <w:sz w:val="19"/>
              </w:rPr>
              <w:t>Adenosine receptor A1</w:t>
            </w:r>
          </w:p>
        </w:tc>
        <w:tc>
          <w:tcPr>
            <w:tcW w:type="dxa" w:w="2268"/>
          </w:tcPr>
          <w:p>
            <w:r>
              <w:rPr>
                <w:rFonts w:ascii="Times New Roman" w:hAnsi="Times New Roman"/>
                <w:sz w:val="19"/>
              </w:rPr>
              <w:t>Ki</w:t>
            </w:r>
          </w:p>
        </w:tc>
        <w:tc>
          <w:tcPr>
            <w:tcW w:type="dxa" w:w="2268"/>
          </w:tcPr>
          <w:p>
            <w:r>
              <w:rPr>
                <w:rFonts w:ascii="Times New Roman" w:hAnsi="Times New Roman"/>
                <w:sz w:val="19"/>
              </w:rPr>
              <w:t>None</w:t>
            </w:r>
          </w:p>
        </w:tc>
        <w:tc>
          <w:tcPr>
            <w:tcW w:type="dxa" w:w="2268"/>
          </w:tcPr>
          <w:p>
            <w:r>
              <w:rPr>
                <w:rFonts w:ascii="Times New Roman" w:hAnsi="Times New Roman"/>
                <w:sz w:val="19"/>
              </w:rPr>
              <w:t>-</w:t>
            </w:r>
          </w:p>
        </w:tc>
      </w:tr>
    </w:tbl>
    <w:p>
      <w:r>
        <w:rPr>
          <w:rFonts w:ascii="Times New Roman" w:hAnsi="Times New Roman"/>
          <w:b/>
          <w:i w:val="0"/>
        </w:rPr>
        <w:t>nelfinavir (CHEMBL365442):</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target (truncated)</w:t>
            </w:r>
          </w:p>
        </w:tc>
        <w:tc>
          <w:tcPr>
            <w:tcW w:type="dxa" w:w="2268"/>
            <w:shd w:val="clear" w:fill="DCE6F1"/>
          </w:tcPr>
          <w:p>
            <w:r>
              <w:rPr>
                <w:rFonts w:ascii="Times New Roman" w:hAnsi="Times New Roman"/>
                <w:b/>
                <w:sz w:val="19"/>
              </w:rPr>
              <w:t>type</w:t>
            </w:r>
          </w:p>
        </w:tc>
        <w:tc>
          <w:tcPr>
            <w:tcW w:type="dxa" w:w="2268"/>
            <w:shd w:val="clear" w:fill="DCE6F1"/>
          </w:tcPr>
          <w:p>
            <w:r>
              <w:rPr>
                <w:rFonts w:ascii="Times New Roman" w:hAnsi="Times New Roman"/>
                <w:b/>
                <w:sz w:val="19"/>
              </w:rPr>
              <w:t>value</w:t>
            </w:r>
          </w:p>
        </w:tc>
        <w:tc>
          <w:tcPr>
            <w:tcW w:type="dxa" w:w="2268"/>
            <w:shd w:val="clear" w:fill="DCE6F1"/>
          </w:tcPr>
          <w:p>
            <w:r>
              <w:rPr>
                <w:rFonts w:ascii="Times New Roman" w:hAnsi="Times New Roman"/>
                <w:b/>
                <w:sz w:val="19"/>
              </w:rPr>
              <w:t>units</w:t>
            </w:r>
          </w:p>
        </w:tc>
      </w:tr>
    </w:tbl>
    <w:p>
      <w:pPr>
        <w:pStyle w:val="Heading1"/>
        <w:pBdr>
          <w:bottom w:val="single" w:sz="12" w:space="4" w:color="1F4E9C"/>
        </w:pBdr>
      </w:pPr>
      <w:r>
        <w:rPr>
          <w:rFonts w:ascii="Times New Roman" w:hAnsi="Times New Roman"/>
          <w:color w:val="1F4E9C"/>
        </w:rPr>
        <w:t>Appendix U. Environment and Version Record</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component</w:t>
            </w:r>
          </w:p>
        </w:tc>
        <w:tc>
          <w:tcPr>
            <w:tcW w:type="dxa" w:w="4536"/>
            <w:shd w:val="clear" w:fill="DCE6F1"/>
          </w:tcPr>
          <w:p>
            <w:r>
              <w:rPr>
                <w:rFonts w:ascii="Times New Roman" w:hAnsi="Times New Roman"/>
                <w:b/>
                <w:sz w:val="19"/>
              </w:rPr>
              <w:t>version</w:t>
            </w:r>
          </w:p>
        </w:tc>
      </w:tr>
      <w:tr>
        <w:tc>
          <w:tcPr>
            <w:tcW w:type="dxa" w:w="4536"/>
          </w:tcPr>
          <w:p>
            <w:r>
              <w:rPr>
                <w:rFonts w:ascii="Times New Roman" w:hAnsi="Times New Roman"/>
                <w:sz w:val="19"/>
              </w:rPr>
              <w:t>AutoDock Vina</w:t>
            </w:r>
          </w:p>
        </w:tc>
        <w:tc>
          <w:tcPr>
            <w:tcW w:type="dxa" w:w="4536"/>
          </w:tcPr>
          <w:p>
            <w:r>
              <w:rPr>
                <w:rFonts w:ascii="Times New Roman" w:hAnsi="Times New Roman"/>
                <w:sz w:val="19"/>
              </w:rPr>
              <w:t>1.2.7 (Python bindings)</w:t>
            </w:r>
          </w:p>
        </w:tc>
      </w:tr>
      <w:tr>
        <w:tc>
          <w:tcPr>
            <w:tcW w:type="dxa" w:w="4536"/>
          </w:tcPr>
          <w:p>
            <w:r>
              <w:rPr>
                <w:rFonts w:ascii="Times New Roman" w:hAnsi="Times New Roman"/>
                <w:sz w:val="19"/>
              </w:rPr>
              <w:t>RDKit</w:t>
            </w:r>
          </w:p>
        </w:tc>
        <w:tc>
          <w:tcPr>
            <w:tcW w:type="dxa" w:w="4536"/>
          </w:tcPr>
          <w:p>
            <w:r>
              <w:rPr>
                <w:rFonts w:ascii="Times New Roman" w:hAnsi="Times New Roman"/>
                <w:sz w:val="19"/>
              </w:rPr>
              <w:t>2026.3.6</w:t>
            </w:r>
          </w:p>
        </w:tc>
      </w:tr>
      <w:tr>
        <w:tc>
          <w:tcPr>
            <w:tcW w:type="dxa" w:w="4536"/>
          </w:tcPr>
          <w:p>
            <w:r>
              <w:rPr>
                <w:rFonts w:ascii="Times New Roman" w:hAnsi="Times New Roman"/>
                <w:sz w:val="19"/>
              </w:rPr>
              <w:t>meeko</w:t>
            </w:r>
          </w:p>
        </w:tc>
        <w:tc>
          <w:tcPr>
            <w:tcW w:type="dxa" w:w="4536"/>
          </w:tcPr>
          <w:p>
            <w:r>
              <w:rPr>
                <w:rFonts w:ascii="Times New Roman" w:hAnsi="Times New Roman"/>
                <w:sz w:val="19"/>
              </w:rPr>
              <w:t>0.8.0</w:t>
            </w:r>
          </w:p>
        </w:tc>
      </w:tr>
      <w:tr>
        <w:tc>
          <w:tcPr>
            <w:tcW w:type="dxa" w:w="4536"/>
          </w:tcPr>
          <w:p>
            <w:r>
              <w:rPr>
                <w:rFonts w:ascii="Times New Roman" w:hAnsi="Times New Roman"/>
                <w:sz w:val="19"/>
              </w:rPr>
              <w:t>NumPy</w:t>
            </w:r>
          </w:p>
        </w:tc>
        <w:tc>
          <w:tcPr>
            <w:tcW w:type="dxa" w:w="4536"/>
          </w:tcPr>
          <w:p>
            <w:r>
              <w:rPr>
                <w:rFonts w:ascii="Times New Roman" w:hAnsi="Times New Roman"/>
                <w:sz w:val="19"/>
              </w:rPr>
              <w:t>2.2.6</w:t>
            </w:r>
          </w:p>
        </w:tc>
      </w:tr>
      <w:tr>
        <w:tc>
          <w:tcPr>
            <w:tcW w:type="dxa" w:w="4536"/>
          </w:tcPr>
          <w:p>
            <w:r>
              <w:rPr>
                <w:rFonts w:ascii="Times New Roman" w:hAnsi="Times New Roman"/>
                <w:sz w:val="19"/>
              </w:rPr>
              <w:t>SciPy</w:t>
            </w:r>
          </w:p>
        </w:tc>
        <w:tc>
          <w:tcPr>
            <w:tcW w:type="dxa" w:w="4536"/>
          </w:tcPr>
          <w:p>
            <w:r>
              <w:rPr>
                <w:rFonts w:ascii="Times New Roman" w:hAnsi="Times New Roman"/>
                <w:sz w:val="19"/>
              </w:rPr>
              <w:t>1.15.3</w:t>
            </w:r>
          </w:p>
        </w:tc>
      </w:tr>
      <w:tr>
        <w:tc>
          <w:tcPr>
            <w:tcW w:type="dxa" w:w="4536"/>
          </w:tcPr>
          <w:p>
            <w:r>
              <w:rPr>
                <w:rFonts w:ascii="Times New Roman" w:hAnsi="Times New Roman"/>
                <w:sz w:val="19"/>
              </w:rPr>
              <w:t>scikit-learn</w:t>
            </w:r>
          </w:p>
        </w:tc>
        <w:tc>
          <w:tcPr>
            <w:tcW w:type="dxa" w:w="4536"/>
          </w:tcPr>
          <w:p>
            <w:r>
              <w:rPr>
                <w:rFonts w:ascii="Times New Roman" w:hAnsi="Times New Roman"/>
                <w:sz w:val="19"/>
              </w:rPr>
              <w:t>1.7.2</w:t>
            </w:r>
          </w:p>
        </w:tc>
      </w:tr>
      <w:tr>
        <w:tc>
          <w:tcPr>
            <w:tcW w:type="dxa" w:w="4536"/>
          </w:tcPr>
          <w:p>
            <w:r>
              <w:rPr>
                <w:rFonts w:ascii="Times New Roman" w:hAnsi="Times New Roman"/>
                <w:sz w:val="19"/>
              </w:rPr>
              <w:t>PyTorch</w:t>
            </w:r>
          </w:p>
        </w:tc>
        <w:tc>
          <w:tcPr>
            <w:tcW w:type="dxa" w:w="4536"/>
          </w:tcPr>
          <w:p>
            <w:r>
              <w:rPr>
                <w:rFonts w:ascii="Times New Roman" w:hAnsi="Times New Roman"/>
                <w:sz w:val="19"/>
              </w:rPr>
              <w:t>2.14.0+cpu</w:t>
            </w:r>
          </w:p>
        </w:tc>
      </w:tr>
      <w:tr>
        <w:tc>
          <w:tcPr>
            <w:tcW w:type="dxa" w:w="4536"/>
          </w:tcPr>
          <w:p>
            <w:r>
              <w:rPr>
                <w:rFonts w:ascii="Times New Roman" w:hAnsi="Times New Roman"/>
                <w:sz w:val="19"/>
              </w:rPr>
              <w:t>matplotlib</w:t>
            </w:r>
          </w:p>
        </w:tc>
        <w:tc>
          <w:tcPr>
            <w:tcW w:type="dxa" w:w="4536"/>
          </w:tcPr>
          <w:p>
            <w:r>
              <w:rPr>
                <w:rFonts w:ascii="Times New Roman" w:hAnsi="Times New Roman"/>
                <w:sz w:val="19"/>
              </w:rPr>
              <w:t>3.10.9</w:t>
            </w:r>
          </w:p>
        </w:tc>
      </w:tr>
      <w:tr>
        <w:tc>
          <w:tcPr>
            <w:tcW w:type="dxa" w:w="4536"/>
          </w:tcPr>
          <w:p>
            <w:r>
              <w:rPr>
                <w:rFonts w:ascii="Times New Roman" w:hAnsi="Times New Roman"/>
                <w:sz w:val="19"/>
              </w:rPr>
              <w:t>python-docx</w:t>
            </w:r>
          </w:p>
        </w:tc>
        <w:tc>
          <w:tcPr>
            <w:tcW w:type="dxa" w:w="4536"/>
          </w:tcPr>
          <w:p>
            <w:r>
              <w:rPr>
                <w:rFonts w:ascii="Times New Roman" w:hAnsi="Times New Roman"/>
                <w:sz w:val="19"/>
              </w:rPr>
              <w:t>1.2.0</w:t>
            </w:r>
          </w:p>
        </w:tc>
      </w:tr>
      <w:tr>
        <w:tc>
          <w:tcPr>
            <w:tcW w:type="dxa" w:w="4536"/>
          </w:tcPr>
          <w:p>
            <w:r>
              <w:rPr>
                <w:rFonts w:ascii="Times New Roman" w:hAnsi="Times New Roman"/>
                <w:sz w:val="19"/>
              </w:rPr>
              <w:t>Python</w:t>
            </w:r>
          </w:p>
        </w:tc>
        <w:tc>
          <w:tcPr>
            <w:tcW w:type="dxa" w:w="4536"/>
          </w:tcPr>
          <w:p>
            <w:r>
              <w:rPr>
                <w:rFonts w:ascii="Times New Roman" w:hAnsi="Times New Roman"/>
                <w:sz w:val="19"/>
              </w:rPr>
              <w:t>3.10</w:t>
            </w:r>
          </w:p>
        </w:tc>
      </w:tr>
      <w:tr>
        <w:tc>
          <w:tcPr>
            <w:tcW w:type="dxa" w:w="4536"/>
          </w:tcPr>
          <w:p>
            <w:r>
              <w:rPr>
                <w:rFonts w:ascii="Times New Roman" w:hAnsi="Times New Roman"/>
                <w:sz w:val="19"/>
              </w:rPr>
              <w:t>test suite</w:t>
            </w:r>
          </w:p>
        </w:tc>
        <w:tc>
          <w:tcPr>
            <w:tcW w:type="dxa" w:w="4536"/>
          </w:tcPr>
          <w:p>
            <w:r>
              <w:rPr>
                <w:rFonts w:ascii="Times New Roman" w:hAnsi="Times New Roman"/>
                <w:sz w:val="19"/>
              </w:rPr>
              <w:t>17 hermetic tests</w:t>
            </w:r>
          </w:p>
        </w:tc>
      </w:tr>
    </w:tbl>
    <w:p>
      <w:r>
        <w:rPr>
          <w:rFonts w:ascii="Times New Roman" w:hAnsi="Times New Roman"/>
          <w:b w:val="0"/>
          <w:i w:val="0"/>
        </w:rPr>
        <w:t>The sandbox (1-2 GB RAM, 2 CPU) constrained every design choice: small models, resumable per-ligand caches, and studies that checkpoint after every expensive step. These constraints are recorded because they are part of the reproducibility story - the pipeline runs on hardware any reader has.</w:t>
      </w:r>
    </w:p>
    <w:p>
      <w:pPr>
        <w:pStyle w:val="Heading1"/>
        <w:pBdr>
          <w:bottom w:val="single" w:sz="12" w:space="4" w:color="1F4E9C"/>
        </w:pBdr>
      </w:pPr>
      <w:r>
        <w:rPr>
          <w:rFonts w:ascii="Times New Roman" w:hAnsi="Times New Roman"/>
          <w:color w:val="1F4E9C"/>
        </w:rPr>
        <w:t>Appendix V. Extended Glossary</w:t>
      </w:r>
    </w:p>
    <w:p>
      <w:r>
        <w:rPr>
          <w:rFonts w:ascii="Times New Roman" w:hAnsi="Times New Roman"/>
          <w:b w:val="0"/>
          <w:i w:val="0"/>
        </w:rPr>
        <w:t>Subpocket S1/S2/S4. Named regions of the Mpro substrate cleft with distinct chemistry; see Appendix L.</w:t>
      </w:r>
    </w:p>
    <w:p>
      <w:r>
        <w:rPr>
          <w:rFonts w:ascii="Times New Roman" w:hAnsi="Times New Roman"/>
          <w:b w:val="0"/>
          <w:i w:val="0"/>
        </w:rPr>
        <w:t>Covalent warhead. A reactive group that bonds Cys145; invisible to Vina's reversible scoring.</w:t>
      </w:r>
    </w:p>
    <w:p>
      <w:r>
        <w:rPr>
          <w:rFonts w:ascii="Times New Roman" w:hAnsi="Times New Roman"/>
          <w:b w:val="0"/>
          <w:i w:val="0"/>
        </w:rPr>
        <w:t>Peptidomimetic. A molecule mimicking peptide backbone geometry; often large, often over-scored by empirical functions.</w:t>
      </w:r>
    </w:p>
    <w:p>
      <w:r>
        <w:rPr>
          <w:rFonts w:ascii="Times New Roman" w:hAnsi="Times New Roman"/>
          <w:b w:val="0"/>
          <w:i w:val="0"/>
        </w:rPr>
        <w:t>Pose. A docked ligand conformation + orientation in the pocket.</w:t>
      </w:r>
    </w:p>
    <w:p>
      <w:r>
        <w:rPr>
          <w:rFonts w:ascii="Times New Roman" w:hAnsi="Times New Roman"/>
          <w:b w:val="0"/>
          <w:i w:val="0"/>
        </w:rPr>
        <w:t>Contact graph. The GNN's input: atoms/residues as nodes, &lt;4.5 A contacts as edges.</w:t>
      </w:r>
    </w:p>
    <w:p>
      <w:r>
        <w:rPr>
          <w:rFonts w:ascii="Times New Roman" w:hAnsi="Times New Roman"/>
          <w:b w:val="0"/>
          <w:i w:val="0"/>
        </w:rPr>
        <w:t>Redock gate. The 2.0 A RMSD acceptance threshold a protocol must pass before screening.</w:t>
      </w:r>
    </w:p>
    <w:p>
      <w:r>
        <w:rPr>
          <w:rFonts w:ascii="Times New Roman" w:hAnsi="Times New Roman"/>
          <w:b w:val="0"/>
          <w:i w:val="0"/>
        </w:rPr>
        <w:t>Ligand efficiency. Affinity per heavy atom; disciplines the 'bigger scores better' artifact.</w:t>
      </w:r>
    </w:p>
    <w:p>
      <w:r>
        <w:rPr>
          <w:rFonts w:ascii="Times New Roman" w:hAnsi="Times New Roman"/>
          <w:b w:val="0"/>
          <w:i w:val="0"/>
        </w:rPr>
        <w:t>LOO AUROC. AUROC pooled over leave-one-out held-out predictions.</w:t>
      </w:r>
    </w:p>
    <w:p>
      <w:r>
        <w:rPr>
          <w:rFonts w:ascii="Times New Roman" w:hAnsi="Times New Roman"/>
          <w:b w:val="0"/>
          <w:i w:val="0"/>
        </w:rPr>
        <w:t>Hypergeometric p. Exact probability of the observed top-k active count under random ranking.</w:t>
      </w:r>
    </w:p>
    <w:p>
      <w:r>
        <w:rPr>
          <w:rFonts w:ascii="Times New Roman" w:hAnsi="Times New Roman"/>
          <w:b w:val="0"/>
          <w:i w:val="0"/>
        </w:rPr>
        <w:t>De novo enumeration. Generating candidates from a designed chemical grammar rather than screening existing drugs.</w:t>
      </w:r>
    </w:p>
    <w:p>
      <w:r>
        <w:br w:type="page"/>
      </w:r>
    </w:p>
    <w:p>
      <w:pPr>
        <w:pStyle w:val="Heading1"/>
        <w:pBdr>
          <w:bottom w:val="single" w:sz="12" w:space="4" w:color="1F4E9C"/>
        </w:pBdr>
      </w:pPr>
      <w:r>
        <w:rPr>
          <w:rFonts w:ascii="Times New Roman" w:hAnsi="Times New Roman"/>
          <w:color w:val="1F4E9C"/>
        </w:rPr>
        <w:t>Appendix W. Literature Label Provenance</w:t>
      </w:r>
    </w:p>
    <w:p>
      <w:r>
        <w:rPr>
          <w:rFonts w:ascii="Times New Roman" w:hAnsi="Times New Roman"/>
          <w:b w:val="0"/>
          <w:i w:val="0"/>
        </w:rPr>
        <w:t>Labels are the most dangerous input in a benchmarking study: a label inherited from another docking paper is circular. Every label here traces to an experimental assay or clinical outcome, as tabulated; where assay support is mixed, the compound is labeled unknown rather than forced.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DCE6F1"/>
          </w:tcPr>
          <w:p>
            <w:r>
              <w:rPr>
                <w:rFonts w:ascii="Times New Roman" w:hAnsi="Times New Roman"/>
                <w:b/>
                <w:sz w:val="19"/>
              </w:rPr>
              <w:t>compound</w:t>
            </w:r>
          </w:p>
        </w:tc>
        <w:tc>
          <w:tcPr>
            <w:tcW w:type="dxa" w:w="2268"/>
            <w:shd w:val="clear" w:fill="DCE6F1"/>
          </w:tcPr>
          <w:p>
            <w:r>
              <w:rPr>
                <w:rFonts w:ascii="Times New Roman" w:hAnsi="Times New Roman"/>
                <w:b/>
                <w:sz w:val="19"/>
              </w:rPr>
              <w:t>label</w:t>
            </w:r>
          </w:p>
        </w:tc>
        <w:tc>
          <w:tcPr>
            <w:tcW w:type="dxa" w:w="2268"/>
            <w:shd w:val="clear" w:fill="DCE6F1"/>
          </w:tcPr>
          <w:p>
            <w:r>
              <w:rPr>
                <w:rFonts w:ascii="Times New Roman" w:hAnsi="Times New Roman"/>
                <w:b/>
                <w:sz w:val="19"/>
              </w:rPr>
              <w:t>evidence class</w:t>
            </w:r>
          </w:p>
        </w:tc>
        <w:tc>
          <w:tcPr>
            <w:tcW w:type="dxa" w:w="2268"/>
            <w:shd w:val="clear" w:fill="DCE6F1"/>
          </w:tcPr>
          <w:p>
            <w:r>
              <w:rPr>
                <w:rFonts w:ascii="Times New Roman" w:hAnsi="Times New Roman"/>
                <w:b/>
                <w:sz w:val="19"/>
              </w:rPr>
              <w:t>anchor</w:t>
            </w:r>
          </w:p>
        </w:tc>
      </w:tr>
      <w:tr>
        <w:tc>
          <w:tcPr>
            <w:tcW w:type="dxa" w:w="2268"/>
          </w:tcPr>
          <w:p>
            <w:r>
              <w:rPr>
                <w:rFonts w:ascii="Times New Roman" w:hAnsi="Times New Roman"/>
                <w:sz w:val="19"/>
              </w:rPr>
              <w:t>nirmatrelvir</w:t>
            </w:r>
          </w:p>
        </w:tc>
        <w:tc>
          <w:tcPr>
            <w:tcW w:type="dxa" w:w="2268"/>
          </w:tcPr>
          <w:p>
            <w:r>
              <w:rPr>
                <w:rFonts w:ascii="Times New Roman" w:hAnsi="Times New Roman"/>
                <w:sz w:val="19"/>
              </w:rPr>
              <w:t>active</w:t>
            </w:r>
          </w:p>
        </w:tc>
        <w:tc>
          <w:tcPr>
            <w:tcW w:type="dxa" w:w="2268"/>
          </w:tcPr>
          <w:p>
            <w:r>
              <w:rPr>
                <w:rFonts w:ascii="Times New Roman" w:hAnsi="Times New Roman"/>
                <w:sz w:val="19"/>
              </w:rPr>
              <w:t>enzymatic assay + approved drug</w:t>
            </w:r>
          </w:p>
        </w:tc>
        <w:tc>
          <w:tcPr>
            <w:tcW w:type="dxa" w:w="2268"/>
          </w:tcPr>
          <w:p>
            <w:r>
              <w:rPr>
                <w:rFonts w:ascii="Times New Roman" w:hAnsi="Times New Roman"/>
                <w:sz w:val="19"/>
              </w:rPr>
              <w:t>Owen et al. 2021</w:t>
            </w:r>
          </w:p>
        </w:tc>
      </w:tr>
      <w:tr>
        <w:tc>
          <w:tcPr>
            <w:tcW w:type="dxa" w:w="2268"/>
          </w:tcPr>
          <w:p>
            <w:r>
              <w:rPr>
                <w:rFonts w:ascii="Times New Roman" w:hAnsi="Times New Roman"/>
                <w:sz w:val="19"/>
              </w:rPr>
              <w:t>boceprevir</w:t>
            </w:r>
          </w:p>
        </w:tc>
        <w:tc>
          <w:tcPr>
            <w:tcW w:type="dxa" w:w="2268"/>
          </w:tcPr>
          <w:p>
            <w:r>
              <w:rPr>
                <w:rFonts w:ascii="Times New Roman" w:hAnsi="Times New Roman"/>
                <w:sz w:val="19"/>
              </w:rPr>
              <w:t>active</w:t>
            </w:r>
          </w:p>
        </w:tc>
        <w:tc>
          <w:tcPr>
            <w:tcW w:type="dxa" w:w="2268"/>
          </w:tcPr>
          <w:p>
            <w:r>
              <w:rPr>
                <w:rFonts w:ascii="Times New Roman" w:hAnsi="Times New Roman"/>
                <w:sz w:val="19"/>
              </w:rPr>
              <w:t>enzymatic Mpro inhibition</w:t>
            </w:r>
          </w:p>
        </w:tc>
        <w:tc>
          <w:tcPr>
            <w:tcW w:type="dxa" w:w="2268"/>
          </w:tcPr>
          <w:p>
            <w:r>
              <w:rPr>
                <w:rFonts w:ascii="Times New Roman" w:hAnsi="Times New Roman"/>
                <w:sz w:val="19"/>
              </w:rPr>
              <w:t>published repurposing screens</w:t>
            </w:r>
          </w:p>
        </w:tc>
      </w:tr>
      <w:tr>
        <w:tc>
          <w:tcPr>
            <w:tcW w:type="dxa" w:w="2268"/>
          </w:tcPr>
          <w:p>
            <w:r>
              <w:rPr>
                <w:rFonts w:ascii="Times New Roman" w:hAnsi="Times New Roman"/>
                <w:sz w:val="19"/>
              </w:rPr>
              <w:t>telaprevir</w:t>
            </w:r>
          </w:p>
        </w:tc>
        <w:tc>
          <w:tcPr>
            <w:tcW w:type="dxa" w:w="2268"/>
          </w:tcPr>
          <w:p>
            <w:r>
              <w:rPr>
                <w:rFonts w:ascii="Times New Roman" w:hAnsi="Times New Roman"/>
                <w:sz w:val="19"/>
              </w:rPr>
              <w:t>active</w:t>
            </w:r>
          </w:p>
        </w:tc>
        <w:tc>
          <w:tcPr>
            <w:tcW w:type="dxa" w:w="2268"/>
          </w:tcPr>
          <w:p>
            <w:r>
              <w:rPr>
                <w:rFonts w:ascii="Times New Roman" w:hAnsi="Times New Roman"/>
                <w:sz w:val="19"/>
              </w:rPr>
              <w:t>enzymatic Mpro inhibition</w:t>
            </w:r>
          </w:p>
        </w:tc>
        <w:tc>
          <w:tcPr>
            <w:tcW w:type="dxa" w:w="2268"/>
          </w:tcPr>
          <w:p>
            <w:r>
              <w:rPr>
                <w:rFonts w:ascii="Times New Roman" w:hAnsi="Times New Roman"/>
                <w:sz w:val="19"/>
              </w:rPr>
              <w:t>published repurposing screens</w:t>
            </w:r>
          </w:p>
        </w:tc>
      </w:tr>
      <w:tr>
        <w:tc>
          <w:tcPr>
            <w:tcW w:type="dxa" w:w="2268"/>
          </w:tcPr>
          <w:p>
            <w:r>
              <w:rPr>
                <w:rFonts w:ascii="Times New Roman" w:hAnsi="Times New Roman"/>
                <w:sz w:val="19"/>
              </w:rPr>
              <w:t>carmofur</w:t>
            </w:r>
          </w:p>
        </w:tc>
        <w:tc>
          <w:tcPr>
            <w:tcW w:type="dxa" w:w="2268"/>
          </w:tcPr>
          <w:p>
            <w:r>
              <w:rPr>
                <w:rFonts w:ascii="Times New Roman" w:hAnsi="Times New Roman"/>
                <w:sz w:val="19"/>
              </w:rPr>
              <w:t>active</w:t>
            </w:r>
          </w:p>
        </w:tc>
        <w:tc>
          <w:tcPr>
            <w:tcW w:type="dxa" w:w="2268"/>
          </w:tcPr>
          <w:p>
            <w:r>
              <w:rPr>
                <w:rFonts w:ascii="Times New Roman" w:hAnsi="Times New Roman"/>
                <w:sz w:val="19"/>
              </w:rPr>
              <w:t>enzymatic + cellular</w:t>
            </w:r>
          </w:p>
        </w:tc>
        <w:tc>
          <w:tcPr>
            <w:tcW w:type="dxa" w:w="2268"/>
          </w:tcPr>
          <w:p>
            <w:r>
              <w:rPr>
                <w:rFonts w:ascii="Times New Roman" w:hAnsi="Times New Roman"/>
                <w:sz w:val="19"/>
              </w:rPr>
              <w:t>Jin et al. 2020 lineage</w:t>
            </w:r>
          </w:p>
        </w:tc>
      </w:tr>
      <w:tr>
        <w:tc>
          <w:tcPr>
            <w:tcW w:type="dxa" w:w="2268"/>
          </w:tcPr>
          <w:p>
            <w:r>
              <w:rPr>
                <w:rFonts w:ascii="Times New Roman" w:hAnsi="Times New Roman"/>
                <w:sz w:val="19"/>
              </w:rPr>
              <w:t>disulfiram</w:t>
            </w:r>
          </w:p>
        </w:tc>
        <w:tc>
          <w:tcPr>
            <w:tcW w:type="dxa" w:w="2268"/>
          </w:tcPr>
          <w:p>
            <w:r>
              <w:rPr>
                <w:rFonts w:ascii="Times New Roman" w:hAnsi="Times New Roman"/>
                <w:sz w:val="19"/>
              </w:rPr>
              <w:t>active</w:t>
            </w:r>
          </w:p>
        </w:tc>
        <w:tc>
          <w:tcPr>
            <w:tcW w:type="dxa" w:w="2268"/>
          </w:tcPr>
          <w:p>
            <w:r>
              <w:rPr>
                <w:rFonts w:ascii="Times New Roman" w:hAnsi="Times New Roman"/>
                <w:sz w:val="19"/>
              </w:rPr>
              <w:t>enzymatic</w:t>
            </w:r>
          </w:p>
        </w:tc>
        <w:tc>
          <w:tcPr>
            <w:tcW w:type="dxa" w:w="2268"/>
          </w:tcPr>
          <w:p>
            <w:r>
              <w:rPr>
                <w:rFonts w:ascii="Times New Roman" w:hAnsi="Times New Roman"/>
                <w:sz w:val="19"/>
              </w:rPr>
              <w:t>Jin et al. 2020 lineage</w:t>
            </w:r>
          </w:p>
        </w:tc>
      </w:tr>
      <w:tr>
        <w:tc>
          <w:tcPr>
            <w:tcW w:type="dxa" w:w="2268"/>
          </w:tcPr>
          <w:p>
            <w:r>
              <w:rPr>
                <w:rFonts w:ascii="Times New Roman" w:hAnsi="Times New Roman"/>
                <w:sz w:val="19"/>
              </w:rPr>
              <w:t>tideglusib</w:t>
            </w:r>
          </w:p>
        </w:tc>
        <w:tc>
          <w:tcPr>
            <w:tcW w:type="dxa" w:w="2268"/>
          </w:tcPr>
          <w:p>
            <w:r>
              <w:rPr>
                <w:rFonts w:ascii="Times New Roman" w:hAnsi="Times New Roman"/>
                <w:sz w:val="19"/>
              </w:rPr>
              <w:t>active</w:t>
            </w:r>
          </w:p>
        </w:tc>
        <w:tc>
          <w:tcPr>
            <w:tcW w:type="dxa" w:w="2268"/>
          </w:tcPr>
          <w:p>
            <w:r>
              <w:rPr>
                <w:rFonts w:ascii="Times New Roman" w:hAnsi="Times New Roman"/>
                <w:sz w:val="19"/>
              </w:rPr>
              <w:t>repurposing screen</w:t>
            </w:r>
          </w:p>
        </w:tc>
        <w:tc>
          <w:tcPr>
            <w:tcW w:type="dxa" w:w="2268"/>
          </w:tcPr>
          <w:p>
            <w:r>
              <w:rPr>
                <w:rFonts w:ascii="Times New Roman" w:hAnsi="Times New Roman"/>
                <w:sz w:val="19"/>
              </w:rPr>
              <w:t>published screens</w:t>
            </w:r>
          </w:p>
        </w:tc>
      </w:tr>
      <w:tr>
        <w:tc>
          <w:tcPr>
            <w:tcW w:type="dxa" w:w="2268"/>
          </w:tcPr>
          <w:p>
            <w:r>
              <w:rPr>
                <w:rFonts w:ascii="Times New Roman" w:hAnsi="Times New Roman"/>
                <w:sz w:val="19"/>
              </w:rPr>
              <w:t>masitinib</w:t>
            </w:r>
          </w:p>
        </w:tc>
        <w:tc>
          <w:tcPr>
            <w:tcW w:type="dxa" w:w="2268"/>
          </w:tcPr>
          <w:p>
            <w:r>
              <w:rPr>
                <w:rFonts w:ascii="Times New Roman" w:hAnsi="Times New Roman"/>
                <w:sz w:val="19"/>
              </w:rPr>
              <w:t>active</w:t>
            </w:r>
          </w:p>
        </w:tc>
        <w:tc>
          <w:tcPr>
            <w:tcW w:type="dxa" w:w="2268"/>
          </w:tcPr>
          <w:p>
            <w:r>
              <w:rPr>
                <w:rFonts w:ascii="Times New Roman" w:hAnsi="Times New Roman"/>
                <w:sz w:val="19"/>
              </w:rPr>
              <w:t>enzymatic + cellular + in vivo</w:t>
            </w:r>
          </w:p>
        </w:tc>
        <w:tc>
          <w:tcPr>
            <w:tcW w:type="dxa" w:w="2268"/>
          </w:tcPr>
          <w:p>
            <w:r>
              <w:rPr>
                <w:rFonts w:ascii="Times New Roman" w:hAnsi="Times New Roman"/>
                <w:sz w:val="19"/>
              </w:rPr>
              <w:t>Drayman et al. 2021</w:t>
            </w:r>
          </w:p>
        </w:tc>
      </w:tr>
      <w:tr>
        <w:tc>
          <w:tcPr>
            <w:tcW w:type="dxa" w:w="2268"/>
          </w:tcPr>
          <w:p>
            <w:r>
              <w:rPr>
                <w:rFonts w:ascii="Times New Roman" w:hAnsi="Times New Roman"/>
                <w:sz w:val="19"/>
              </w:rPr>
              <w:t>lopinavir</w:t>
            </w:r>
          </w:p>
        </w:tc>
        <w:tc>
          <w:tcPr>
            <w:tcW w:type="dxa" w:w="2268"/>
          </w:tcPr>
          <w:p>
            <w:r>
              <w:rPr>
                <w:rFonts w:ascii="Times New Roman" w:hAnsi="Times New Roman"/>
                <w:sz w:val="19"/>
              </w:rPr>
              <w:t>inactive</w:t>
            </w:r>
          </w:p>
        </w:tc>
        <w:tc>
          <w:tcPr>
            <w:tcW w:type="dxa" w:w="2268"/>
          </w:tcPr>
          <w:p>
            <w:r>
              <w:rPr>
                <w:rFonts w:ascii="Times New Roman" w:hAnsi="Times New Roman"/>
                <w:sz w:val="19"/>
              </w:rPr>
              <w:t>failed clinical trials</w:t>
            </w:r>
          </w:p>
        </w:tc>
        <w:tc>
          <w:tcPr>
            <w:tcW w:type="dxa" w:w="2268"/>
          </w:tcPr>
          <w:p>
            <w:r>
              <w:rPr>
                <w:rFonts w:ascii="Times New Roman" w:hAnsi="Times New Roman"/>
                <w:sz w:val="19"/>
              </w:rPr>
              <w:t>RECOVERY-era trials</w:t>
            </w:r>
          </w:p>
        </w:tc>
      </w:tr>
      <w:tr>
        <w:tc>
          <w:tcPr>
            <w:tcW w:type="dxa" w:w="2268"/>
          </w:tcPr>
          <w:p>
            <w:r>
              <w:rPr>
                <w:rFonts w:ascii="Times New Roman" w:hAnsi="Times New Roman"/>
                <w:sz w:val="19"/>
              </w:rPr>
              <w:t>atazanavir</w:t>
            </w:r>
          </w:p>
        </w:tc>
        <w:tc>
          <w:tcPr>
            <w:tcW w:type="dxa" w:w="2268"/>
          </w:tcPr>
          <w:p>
            <w:r>
              <w:rPr>
                <w:rFonts w:ascii="Times New Roman" w:hAnsi="Times New Roman"/>
                <w:sz w:val="19"/>
              </w:rPr>
              <w:t>inactive</w:t>
            </w:r>
          </w:p>
        </w:tc>
        <w:tc>
          <w:tcPr>
            <w:tcW w:type="dxa" w:w="2268"/>
          </w:tcPr>
          <w:p>
            <w:r>
              <w:rPr>
                <w:rFonts w:ascii="Times New Roman" w:hAnsi="Times New Roman"/>
                <w:sz w:val="19"/>
              </w:rPr>
              <w:t>negative enzymatic evidence</w:t>
            </w:r>
          </w:p>
        </w:tc>
        <w:tc>
          <w:tcPr>
            <w:tcW w:type="dxa" w:w="2268"/>
          </w:tcPr>
          <w:p>
            <w:r>
              <w:rPr>
                <w:rFonts w:ascii="Times New Roman" w:hAnsi="Times New Roman"/>
                <w:sz w:val="19"/>
              </w:rPr>
              <w:t>published screens</w:t>
            </w:r>
          </w:p>
        </w:tc>
      </w:tr>
      <w:tr>
        <w:tc>
          <w:tcPr>
            <w:tcW w:type="dxa" w:w="2268"/>
          </w:tcPr>
          <w:p>
            <w:r>
              <w:rPr>
                <w:rFonts w:ascii="Times New Roman" w:hAnsi="Times New Roman"/>
                <w:sz w:val="19"/>
              </w:rPr>
              <w:t>darunavir</w:t>
            </w:r>
          </w:p>
        </w:tc>
        <w:tc>
          <w:tcPr>
            <w:tcW w:type="dxa" w:w="2268"/>
          </w:tcPr>
          <w:p>
            <w:r>
              <w:rPr>
                <w:rFonts w:ascii="Times New Roman" w:hAnsi="Times New Roman"/>
                <w:sz w:val="19"/>
              </w:rPr>
              <w:t>inactive</w:t>
            </w:r>
          </w:p>
        </w:tc>
        <w:tc>
          <w:tcPr>
            <w:tcW w:type="dxa" w:w="2268"/>
          </w:tcPr>
          <w:p>
            <w:r>
              <w:rPr>
                <w:rFonts w:ascii="Times New Roman" w:hAnsi="Times New Roman"/>
                <w:sz w:val="19"/>
              </w:rPr>
              <w:t>negative clinical/preclinical</w:t>
            </w:r>
          </w:p>
        </w:tc>
        <w:tc>
          <w:tcPr>
            <w:tcW w:type="dxa" w:w="2268"/>
          </w:tcPr>
          <w:p>
            <w:r>
              <w:rPr>
                <w:rFonts w:ascii="Times New Roman" w:hAnsi="Times New Roman"/>
                <w:sz w:val="19"/>
              </w:rPr>
              <w:t>published reports</w:t>
            </w:r>
          </w:p>
        </w:tc>
      </w:tr>
      <w:tr>
        <w:tc>
          <w:tcPr>
            <w:tcW w:type="dxa" w:w="2268"/>
          </w:tcPr>
          <w:p>
            <w:r>
              <w:rPr>
                <w:rFonts w:ascii="Times New Roman" w:hAnsi="Times New Roman"/>
                <w:sz w:val="19"/>
              </w:rPr>
              <w:t>saquinavir</w:t>
            </w:r>
          </w:p>
        </w:tc>
        <w:tc>
          <w:tcPr>
            <w:tcW w:type="dxa" w:w="2268"/>
          </w:tcPr>
          <w:p>
            <w:r>
              <w:rPr>
                <w:rFonts w:ascii="Times New Roman" w:hAnsi="Times New Roman"/>
                <w:sz w:val="19"/>
              </w:rPr>
              <w:t>inactive</w:t>
            </w:r>
          </w:p>
        </w:tc>
        <w:tc>
          <w:tcPr>
            <w:tcW w:type="dxa" w:w="2268"/>
          </w:tcPr>
          <w:p>
            <w:r>
              <w:rPr>
                <w:rFonts w:ascii="Times New Roman" w:hAnsi="Times New Roman"/>
                <w:sz w:val="19"/>
              </w:rPr>
              <w:t>negative evidence</w:t>
            </w:r>
          </w:p>
        </w:tc>
        <w:tc>
          <w:tcPr>
            <w:tcW w:type="dxa" w:w="2268"/>
          </w:tcPr>
          <w:p>
            <w:r>
              <w:rPr>
                <w:rFonts w:ascii="Times New Roman" w:hAnsi="Times New Roman"/>
                <w:sz w:val="19"/>
              </w:rPr>
              <w:t>published screens</w:t>
            </w:r>
          </w:p>
        </w:tc>
      </w:tr>
      <w:tr>
        <w:tc>
          <w:tcPr>
            <w:tcW w:type="dxa" w:w="2268"/>
          </w:tcPr>
          <w:p>
            <w:r>
              <w:rPr>
                <w:rFonts w:ascii="Times New Roman" w:hAnsi="Times New Roman"/>
                <w:sz w:val="19"/>
              </w:rPr>
              <w:t>indinavir</w:t>
            </w:r>
          </w:p>
        </w:tc>
        <w:tc>
          <w:tcPr>
            <w:tcW w:type="dxa" w:w="2268"/>
          </w:tcPr>
          <w:p>
            <w:r>
              <w:rPr>
                <w:rFonts w:ascii="Times New Roman" w:hAnsi="Times New Roman"/>
                <w:sz w:val="19"/>
              </w:rPr>
              <w:t>inactive</w:t>
            </w:r>
          </w:p>
        </w:tc>
        <w:tc>
          <w:tcPr>
            <w:tcW w:type="dxa" w:w="2268"/>
          </w:tcPr>
          <w:p>
            <w:r>
              <w:rPr>
                <w:rFonts w:ascii="Times New Roman" w:hAnsi="Times New Roman"/>
                <w:sz w:val="19"/>
              </w:rPr>
              <w:t>negative evidence</w:t>
            </w:r>
          </w:p>
        </w:tc>
        <w:tc>
          <w:tcPr>
            <w:tcW w:type="dxa" w:w="2268"/>
          </w:tcPr>
          <w:p>
            <w:r>
              <w:rPr>
                <w:rFonts w:ascii="Times New Roman" w:hAnsi="Times New Roman"/>
                <w:sz w:val="19"/>
              </w:rPr>
              <w:t>published screens</w:t>
            </w:r>
          </w:p>
        </w:tc>
      </w:tr>
      <w:tr>
        <w:tc>
          <w:tcPr>
            <w:tcW w:type="dxa" w:w="2268"/>
          </w:tcPr>
          <w:p>
            <w:r>
              <w:rPr>
                <w:rFonts w:ascii="Times New Roman" w:hAnsi="Times New Roman"/>
                <w:sz w:val="19"/>
              </w:rPr>
              <w:t>nelfinavir</w:t>
            </w:r>
          </w:p>
        </w:tc>
        <w:tc>
          <w:tcPr>
            <w:tcW w:type="dxa" w:w="2268"/>
          </w:tcPr>
          <w:p>
            <w:r>
              <w:rPr>
                <w:rFonts w:ascii="Times New Roman" w:hAnsi="Times New Roman"/>
                <w:sz w:val="19"/>
              </w:rPr>
              <w:t>inactive</w:t>
            </w:r>
          </w:p>
        </w:tc>
        <w:tc>
          <w:tcPr>
            <w:tcW w:type="dxa" w:w="2268"/>
          </w:tcPr>
          <w:p>
            <w:r>
              <w:rPr>
                <w:rFonts w:ascii="Times New Roman" w:hAnsi="Times New Roman"/>
                <w:sz w:val="19"/>
              </w:rPr>
              <w:t>refuted early claims</w:t>
            </w:r>
          </w:p>
        </w:tc>
        <w:tc>
          <w:tcPr>
            <w:tcW w:type="dxa" w:w="2268"/>
          </w:tcPr>
          <w:p>
            <w:r>
              <w:rPr>
                <w:rFonts w:ascii="Times New Roman" w:hAnsi="Times New Roman"/>
                <w:sz w:val="19"/>
              </w:rPr>
              <w:t>published follow-ups</w:t>
            </w:r>
          </w:p>
        </w:tc>
      </w:tr>
      <w:tr>
        <w:tc>
          <w:tcPr>
            <w:tcW w:type="dxa" w:w="2268"/>
          </w:tcPr>
          <w:p>
            <w:r>
              <w:rPr>
                <w:rFonts w:ascii="Times New Roman" w:hAnsi="Times New Roman"/>
                <w:sz w:val="19"/>
              </w:rPr>
              <w:t>chloroquine</w:t>
            </w:r>
          </w:p>
        </w:tc>
        <w:tc>
          <w:tcPr>
            <w:tcW w:type="dxa" w:w="2268"/>
          </w:tcPr>
          <w:p>
            <w:r>
              <w:rPr>
                <w:rFonts w:ascii="Times New Roman" w:hAnsi="Times New Roman"/>
                <w:sz w:val="19"/>
              </w:rPr>
              <w:t>inactive</w:t>
            </w:r>
          </w:p>
        </w:tc>
        <w:tc>
          <w:tcPr>
            <w:tcW w:type="dxa" w:w="2268"/>
          </w:tcPr>
          <w:p>
            <w:r>
              <w:rPr>
                <w:rFonts w:ascii="Times New Roman" w:hAnsi="Times New Roman"/>
                <w:sz w:val="19"/>
              </w:rPr>
              <w:t>failed clinical, no Mpro mechanism</w:t>
            </w:r>
          </w:p>
        </w:tc>
        <w:tc>
          <w:tcPr>
            <w:tcW w:type="dxa" w:w="2268"/>
          </w:tcPr>
          <w:p>
            <w:r>
              <w:rPr>
                <w:rFonts w:ascii="Times New Roman" w:hAnsi="Times New Roman"/>
                <w:sz w:val="19"/>
              </w:rPr>
              <w:t>trial record</w:t>
            </w:r>
          </w:p>
        </w:tc>
      </w:tr>
      <w:tr>
        <w:tc>
          <w:tcPr>
            <w:tcW w:type="dxa" w:w="2268"/>
          </w:tcPr>
          <w:p>
            <w:r>
              <w:rPr>
                <w:rFonts w:ascii="Times New Roman" w:hAnsi="Times New Roman"/>
                <w:sz w:val="19"/>
              </w:rPr>
              <w:t>hydroxychloroquine</w:t>
            </w:r>
          </w:p>
        </w:tc>
        <w:tc>
          <w:tcPr>
            <w:tcW w:type="dxa" w:w="2268"/>
          </w:tcPr>
          <w:p>
            <w:r>
              <w:rPr>
                <w:rFonts w:ascii="Times New Roman" w:hAnsi="Times New Roman"/>
                <w:sz w:val="19"/>
              </w:rPr>
              <w:t>inactive</w:t>
            </w:r>
          </w:p>
        </w:tc>
        <w:tc>
          <w:tcPr>
            <w:tcW w:type="dxa" w:w="2268"/>
          </w:tcPr>
          <w:p>
            <w:r>
              <w:rPr>
                <w:rFonts w:ascii="Times New Roman" w:hAnsi="Times New Roman"/>
                <w:sz w:val="19"/>
              </w:rPr>
              <w:t>failed clinical, no Mpro mechanism</w:t>
            </w:r>
          </w:p>
        </w:tc>
        <w:tc>
          <w:tcPr>
            <w:tcW w:type="dxa" w:w="2268"/>
          </w:tcPr>
          <w:p>
            <w:r>
              <w:rPr>
                <w:rFonts w:ascii="Times New Roman" w:hAnsi="Times New Roman"/>
                <w:sz w:val="19"/>
              </w:rPr>
              <w:t>trial record</w:t>
            </w:r>
          </w:p>
        </w:tc>
      </w:tr>
    </w:tbl>
    <w:p>
      <w:r>
        <w:rPr>
          <w:rFonts w:ascii="Times New Roman" w:hAnsi="Times New Roman"/>
          <w:b w:val="0"/>
          <w:i w:val="0"/>
        </w:rPr>
        <w:t>Unknown-labeled compounds (ritonavir, remdesivir, molnupiravir, favipiravir, camostat, nafamostat, nilotinib) are excluded from every AUROC and enrichment computation but kept in the tables for completeness - remdesivir and molnupiravir target the polymerase, not Mpro, so a label would be mechanistically ambiguous.</w:t>
      </w:r>
    </w:p>
    <w:p>
      <w:r>
        <w:br w:type="page"/>
      </w:r>
    </w:p>
    <w:p>
      <w:pPr>
        <w:pStyle w:val="Heading1"/>
        <w:pBdr>
          <w:bottom w:val="single" w:sz="12" w:space="4" w:color="1F4E9C"/>
        </w:pBdr>
      </w:pPr>
      <w:r>
        <w:rPr>
          <w:rFonts w:ascii="Times New Roman" w:hAnsi="Times New Roman"/>
          <w:color w:val="1F4E9C"/>
        </w:rPr>
        <w:t>Appendix X. Threats to Validity, Enumerated</w:t>
      </w:r>
    </w:p>
    <w:p>
      <w:r>
        <w:rPr>
          <w:rFonts w:ascii="Times New Roman" w:hAnsi="Times New Roman"/>
          <w:b w:val="0"/>
          <w:i w:val="0"/>
        </w:rPr>
        <w:t>Label noise. Assay heterogeneity across sources. Mitigation: labels restricted to assay/clinical evidence; ambiguous compounds excluded from statistics.</w:t>
      </w:r>
    </w:p>
    <w:p>
      <w:r>
        <w:rPr>
          <w:rFonts w:ascii="Times New Roman" w:hAnsi="Times New Roman"/>
          <w:b w:val="0"/>
          <w:i w:val="0"/>
        </w:rPr>
        <w:t>Small n. 15 labeled points. Mitigation: LOO protocol, interval arithmetic in Appendix S, claims restricted to ordering.</w:t>
      </w:r>
    </w:p>
    <w:p>
      <w:r>
        <w:rPr>
          <w:rFonts w:ascii="Times New Roman" w:hAnsi="Times New Roman"/>
          <w:b w:val="0"/>
          <w:i w:val="0"/>
        </w:rPr>
        <w:t>Single target. Results may not transfer off Mpro. Mitigation: stated as scope, not hidden; cross-target transfer is roadmap item 5.</w:t>
      </w:r>
    </w:p>
    <w:p>
      <w:r>
        <w:rPr>
          <w:rFonts w:ascii="Times New Roman" w:hAnsi="Times New Roman"/>
          <w:b w:val="0"/>
          <w:i w:val="0"/>
        </w:rPr>
        <w:t>Rigid receptor. Induced fit unmodeled. Mitigation: limitation 1; the redock gate at least fixes the protocol on the observed conformation.</w:t>
      </w:r>
    </w:p>
    <w:p>
      <w:r>
        <w:rPr>
          <w:rFonts w:ascii="Times New Roman" w:hAnsi="Times New Roman"/>
          <w:b w:val="0"/>
          <w:i w:val="0"/>
        </w:rPr>
        <w:t>Covalency blind spot. Warheads scored as reversible. Mitigation: disclosed; ebselen exclusion logged; hypothesis in Appendix L is falsifiable.</w:t>
      </w:r>
    </w:p>
    <w:p>
      <w:r>
        <w:rPr>
          <w:rFonts w:ascii="Times New Roman" w:hAnsi="Times New Roman"/>
          <w:b w:val="0"/>
          <w:i w:val="0"/>
        </w:rPr>
        <w:t>Sampling exhaustiveness. Deep minima can be missed. Mitigation: redock at 16 anchors the protocol; poses re-docked for the GNN.</w:t>
      </w:r>
    </w:p>
    <w:p>
      <w:r>
        <w:rPr>
          <w:rFonts w:ascii="Times New Roman" w:hAnsi="Times New Roman"/>
          <w:b w:val="0"/>
          <w:i w:val="0"/>
        </w:rPr>
        <w:t>Implementation bugs. All pipelines have them. Mitigation: 17 hermetic tests re-derive every load-bearing number on every commit.</w:t>
      </w:r>
    </w:p>
    <w:p>
      <w:r>
        <w:rPr>
          <w:rFonts w:ascii="Times New Roman" w:hAnsi="Times New Roman"/>
          <w:b w:val="0"/>
          <w:i w:val="0"/>
        </w:rPr>
        <w:t>Verification-query drift. External APIs change. Mitigation: verification records cached with timestamps; failures recorded, not retried into silence.</w:t>
      </w:r>
    </w:p>
    <w:p>
      <w:r>
        <w:br w:type="page"/>
      </w:r>
    </w:p>
    <w:p>
      <w:pPr>
        <w:pStyle w:val="Heading1"/>
        <w:pBdr>
          <w:bottom w:val="single" w:sz="12" w:space="4" w:color="1F4E9C"/>
        </w:pBdr>
      </w:pPr>
      <w:r>
        <w:rPr>
          <w:rFonts w:ascii="Times New Roman" w:hAnsi="Times New Roman"/>
          <w:color w:val="1F4E9C"/>
        </w:rPr>
        <w:t>Appendix Y. Data and Code Availability</w:t>
      </w:r>
    </w:p>
    <w:p>
      <w:r>
        <w:rPr>
          <w:rFonts w:ascii="Times New Roman" w:hAnsi="Times New Roman"/>
          <w:b w:val="0"/>
          <w:i w:val="0"/>
        </w:rPr>
        <w:t>Repository: the project repository (branch main). Layout: src/drugdisc (prep, dock, geometry, ligands, rescore, gnn_rescorer, denovo); studies/ (redock, screen, analyze, denovo, external verification rounds 1-2); results/ (every record this paper reads); tests/ (17 hermetic tests); paper/ (this generator). The paper regenerates end-to-end: python paper/make_paper12.py reads only files in results/, so a reader who deletes this document loses nothing that the records cannot rebuild.</w:t>
      </w:r>
    </w:p>
    <w:p>
      <w:r>
        <w:rPr>
          <w:rFonts w:ascii="Times New Roman" w:hAnsi="Times New Roman"/>
          <w:b/>
          <w:i w:val="0"/>
        </w:rPr>
        <w:t>Result record inventory:</w:t>
      </w:r>
    </w:p>
    <w:p>
      <w:r>
        <w:rPr>
          <w:rFonts w:ascii="Times New Roman" w:hAnsi="Times New Roman"/>
          <w:b w:val="0"/>
          <w:i w:val="0"/>
        </w:rPr>
        <w:t>results/redock_7KX5.json - redock validation record</w:t>
      </w:r>
    </w:p>
    <w:p>
      <w:r>
        <w:rPr>
          <w:rFonts w:ascii="Times New Roman" w:hAnsi="Times New Roman"/>
          <w:b w:val="0"/>
          <w:i w:val="0"/>
        </w:rPr>
        <w:t>results/redock_overlay.png - Figure 1 source</w:t>
      </w:r>
    </w:p>
    <w:p>
      <w:r>
        <w:rPr>
          <w:rFonts w:ascii="Times New Roman" w:hAnsi="Times New Roman"/>
          <w:b w:val="0"/>
          <w:i w:val="0"/>
        </w:rPr>
        <w:t>results/screen/*.json - 22 per-ligand dock records (resumable cache)</w:t>
      </w:r>
    </w:p>
    <w:p>
      <w:r>
        <w:rPr>
          <w:rFonts w:ascii="Times New Roman" w:hAnsi="Times New Roman"/>
          <w:b w:val="0"/>
          <w:i w:val="0"/>
        </w:rPr>
        <w:t>results/screen_summary.json - campaign summary</w:t>
      </w:r>
    </w:p>
    <w:p>
      <w:r>
        <w:rPr>
          <w:rFonts w:ascii="Times New Roman" w:hAnsi="Times New Roman"/>
          <w:b w:val="0"/>
          <w:i w:val="0"/>
        </w:rPr>
        <w:t>results/screen_analysis.json - statistics + AUROC triplet + ranking</w:t>
      </w:r>
    </w:p>
    <w:p>
      <w:r>
        <w:rPr>
          <w:rFonts w:ascii="Times New Roman" w:hAnsi="Times New Roman"/>
          <w:b w:val="0"/>
          <w:i w:val="0"/>
        </w:rPr>
        <w:t>results/screen_ranking.png - Figure 2 source</w:t>
      </w:r>
    </w:p>
    <w:p>
      <w:r>
        <w:rPr>
          <w:rFonts w:ascii="Times New Roman" w:hAnsi="Times New Roman"/>
          <w:b w:val="0"/>
          <w:i w:val="0"/>
        </w:rPr>
        <w:t>results/denovo/*.json - per-candidate pose records</w:t>
      </w:r>
    </w:p>
    <w:p>
      <w:r>
        <w:rPr>
          <w:rFonts w:ascii="Times New Roman" w:hAnsi="Times New Roman"/>
          <w:b w:val="0"/>
          <w:i w:val="0"/>
        </w:rPr>
        <w:t>results/denovo_mpro_d1.json - MPRO-D1 record with novelty evidence</w:t>
      </w:r>
    </w:p>
    <w:p>
      <w:r>
        <w:rPr>
          <w:rFonts w:ascii="Times New Roman" w:hAnsi="Times New Roman"/>
          <w:b w:val="0"/>
          <w:i w:val="0"/>
        </w:rPr>
        <w:t>results/external_verification.json - verification round 1 (10 query families)</w:t>
      </w:r>
    </w:p>
    <w:p>
      <w:r>
        <w:rPr>
          <w:rFonts w:ascii="Times New Roman" w:hAnsi="Times New Roman"/>
          <w:b w:val="0"/>
          <w:i w:val="0"/>
        </w:rPr>
        <w:t>results/external_verification2.json - verification round 2 (6 query families)</w:t>
      </w:r>
    </w:p>
    <w:p>
      <w:r>
        <w:rPr>
          <w:rFonts w:ascii="Times New Roman" w:hAnsi="Times New Roman"/>
          <w:b w:val="0"/>
          <w:i w:val="0"/>
        </w:rPr>
        <w:t>data/raw/7KX5.pdb - receptor structure</w:t>
      </w:r>
    </w:p>
    <w:p>
      <w:r>
        <w:rPr>
          <w:rFonts w:ascii="Times New Roman" w:hAnsi="Times New Roman"/>
          <w:b w:val="0"/>
          <w:i w:val="0"/>
        </w:rPr>
        <w:t>data/raw/screen_smiles.json - cached SMILES resolutions</w:t>
      </w:r>
    </w:p>
    <w:p>
      <w:pPr>
        <w:pStyle w:val="Heading1"/>
        <w:pBdr>
          <w:bottom w:val="single" w:sz="12" w:space="4" w:color="1F4E9C"/>
        </w:pBdr>
      </w:pPr>
      <w:r>
        <w:rPr>
          <w:rFonts w:ascii="Times New Roman" w:hAnsi="Times New Roman"/>
          <w:color w:val="1F4E9C"/>
        </w:rPr>
        <w:t>Appendix Z. Extended Derivations</w:t>
      </w:r>
    </w:p>
    <w:p>
      <w:r>
        <w:rPr>
          <w:rFonts w:ascii="Times New Roman" w:hAnsi="Times New Roman"/>
          <w:b w:val="0"/>
          <w:i w:val="0"/>
        </w:rPr>
        <w:t>Z.1 GNN gradient flow. With loss L = -(y log p + (1-y) log(1-p)) and p = sigmoid(w^T z + b0), backpropagation through the readout gives</w:t>
      </w:r>
    </w:p>
    <w:p>
      <w:pPr>
        <w:jc w:val="center"/>
      </w:pPr>
      <w:r>
        <w:rPr>
          <w:rFonts w:ascii="Times New Roman" w:hAnsi="Times New Roman"/>
          <w:b w:val="0"/>
          <w:i/>
        </w:rPr>
        <w:t>dL/dz = (p - y) w</w:t>
      </w:r>
    </w:p>
    <w:p>
      <w:pPr>
        <w:jc w:val="center"/>
      </w:pPr>
      <w:r>
        <w:rPr>
          <w:rFonts w:ascii="Times New Roman" w:hAnsi="Times New Roman"/>
          <w:b w:val="0"/>
          <w:i/>
        </w:rPr>
        <w:t>dL/dh_v^(2) = (1/|V|) (p - y) w</w:t>
      </w:r>
    </w:p>
    <w:p>
      <w:r>
        <w:rPr>
          <w:rFonts w:ascii="Times New Roman" w:hAnsi="Times New Roman"/>
          <w:b w:val="0"/>
          <w:i w:val="0"/>
        </w:rPr>
        <w:t>and through each message-passing round by the standard adjoint recursion:</w:t>
      </w:r>
    </w:p>
    <w:p>
      <w:pPr>
        <w:jc w:val="center"/>
      </w:pPr>
      <w:r>
        <w:rPr>
          <w:rFonts w:ascii="Times New Roman" w:hAnsi="Times New Roman"/>
          <w:b w:val="0"/>
          <w:i/>
        </w:rPr>
        <w:t>dL/dh_u^(t-1) += W_e^T (dL/dm_v^(t))   for each edge (u, v)</w:t>
      </w:r>
    </w:p>
    <w:p>
      <w:r>
        <w:rPr>
          <w:rFonts w:ascii="Times New Roman" w:hAnsi="Times New Roman"/>
          <w:b w:val="0"/>
          <w:i w:val="0"/>
        </w:rPr>
        <w:t>Z.2 Sampling complexity of docking. Vina's Monte-Carlo/BFGS search with exhaustiveness E performs O(E) independent restarts; the probability of missing the global pose basin decays approximately exponentially in E for a single deep basin, which is why the redock at E = 16 anchors the protocol while screening at E = 8 remains acceptable for ranking.</w:t>
      </w:r>
    </w:p>
    <w:p>
      <w:r>
        <w:rPr>
          <w:rFonts w:ascii="Times New Roman" w:hAnsi="Times New Roman"/>
          <w:b w:val="0"/>
          <w:i w:val="0"/>
        </w:rPr>
        <w:t>Z.3 DeLong-flavored interval for AUROC. Treating the AUROC as a Mann-Whitney statistic, its variance decomposes into placement variances over actives and inactives; at n_a = 7, n_i = 8 the leading term scales as</w:t>
      </w:r>
    </w:p>
    <w:p>
      <w:pPr>
        <w:jc w:val="center"/>
      </w:pPr>
      <w:r>
        <w:rPr>
          <w:rFonts w:ascii="Times New Roman" w:hAnsi="Times New Roman"/>
          <w:b w:val="0"/>
          <w:i/>
        </w:rPr>
        <w:t>Var(AUROC) ~ AUROC(1-AUROC) [1 + (n_a-1)(Q1-AUROC^2)/(AUROC(1-AUROC)) + (n_i-1)(Q2-AUROC^2)/(AUROC(1-AUROC))] / (n_a n_i)</w:t>
      </w:r>
    </w:p>
    <w:p>
      <w:r>
        <w:rPr>
          <w:rFonts w:ascii="Times New Roman" w:hAnsi="Times New Roman"/>
          <w:b w:val="0"/>
          <w:i w:val="0"/>
        </w:rPr>
        <w:t>with Q1, Q2 the two-placement probabilities - the source of the +-0.1 standard error quoted in Appendix S.</w:t>
      </w:r>
    </w:p>
    <w:p>
      <w:r>
        <w:rPr>
          <w:rFonts w:ascii="Times New Roman" w:hAnsi="Times New Roman"/>
          <w:b w:val="0"/>
          <w:i w:val="0"/>
        </w:rPr>
        <w:t>Z.4 Why LOO flatters neither model. With n-1 = 14 training points, each fold's model is slightly weaker than a full-data model; pooled LOO predictions therefore UNDERSTATE full-data performance on average, while remaining unbiased for the model class at this n. We accept the understatement as the price of an honest protocol.</w:t>
      </w:r>
    </w:p>
    <w:p>
      <w:r>
        <w:br w:type="page"/>
      </w:r>
    </w:p>
    <w:p>
      <w:pPr>
        <w:pStyle w:val="Heading1"/>
        <w:pBdr>
          <w:bottom w:val="single" w:sz="12" w:space="4" w:color="1F4E9C"/>
        </w:pBdr>
      </w:pPr>
      <w:r>
        <w:rPr>
          <w:rFonts w:ascii="Times New Roman" w:hAnsi="Times New Roman"/>
          <w:color w:val="1F4E9C"/>
        </w:rPr>
        <w:t>Appendix AA. The Reader's Path Through This Repository</w:t>
      </w:r>
    </w:p>
    <w:p>
      <w:r>
        <w:rPr>
          <w:rFonts w:ascii="Times New Roman" w:hAnsi="Times New Roman"/>
          <w:b w:val="0"/>
          <w:i w:val="0"/>
        </w:rPr>
        <w:t>Thirty-minute path: read the Executive Summary; open results/redock_7KX5.json and check the RMSD; open results/screen_analysis.json and check the AUROC triplet; open results/denovo_mpro_d1.json and read the novelty record. Half-day path: clone, install, run pytest (17 tests), rerun study12_redock.py and confirm the gate passes on your hardware. Full path: rerun every study in order - redock, screen (live docking, hours), analyze, denovo, verification rounds 1-2 - then regenerate this paper and diff it against the shipped copy. Any number that moved is a finding; report it.</w:t>
      </w:r>
    </w:p>
    <w:p>
      <w:pPr>
        <w:pStyle w:val="Heading1"/>
        <w:pBdr>
          <w:bottom w:val="single" w:sz="12" w:space="4" w:color="1F4E9C"/>
        </w:pBdr>
      </w:pPr>
      <w:r>
        <w:rPr>
          <w:rFonts w:ascii="Times New Roman" w:hAnsi="Times New Roman"/>
          <w:color w:val="1F4E9C"/>
        </w:rPr>
        <w:t>Appendix AB. Docked-Pose Statistics</w:t>
      </w:r>
    </w:p>
    <w:p>
      <w:r>
        <w:rPr>
          <w:rFonts w:ascii="Times New Roman" w:hAnsi="Times New Roman"/>
          <w:b w:val="0"/>
          <w:i w:val="0"/>
        </w:rPr>
        <w:t>Across the 110 screening poses (22 ligands x 5), the best-pose affinity spans -4.61 to -9.31 kcal/mol (mean -7.72, spread consistent with the published Vina range on protease targets). Pose-to-pose affinity spread within a ligand averages 0.9 kcal/mol, which sets the resolution limit of any ranking built on single poses - and motivates the GNN reading geometry rather than trusting the scalar ordering within that noise band.</w:t>
      </w:r>
    </w:p>
    <w:tbl>
      <w:tblPr>
        <w:tblStyle w:val="TableGrid"/>
        <w:tblW w:type="auto" w:w="0"/>
        <w:tblLook w:firstColumn="1" w:firstRow="1" w:lastColumn="0" w:lastRow="0" w:noHBand="0" w:noVBand="1" w:val="04A0"/>
      </w:tblPr>
      <w:tblGrid>
        <w:gridCol w:w="4536"/>
        <w:gridCol w:w="4536"/>
      </w:tblGrid>
      <w:tr>
        <w:tc>
          <w:tcPr>
            <w:tcW w:type="dxa" w:w="4536"/>
            <w:shd w:val="clear" w:fill="DCE6F1"/>
          </w:tcPr>
          <w:p>
            <w:r>
              <w:rPr>
                <w:rFonts w:ascii="Times New Roman" w:hAnsi="Times New Roman"/>
                <w:b/>
                <w:sz w:val="19"/>
              </w:rPr>
              <w:t>statistic</w:t>
            </w:r>
          </w:p>
        </w:tc>
        <w:tc>
          <w:tcPr>
            <w:tcW w:type="dxa" w:w="4536"/>
            <w:shd w:val="clear" w:fill="DCE6F1"/>
          </w:tcPr>
          <w:p>
            <w:r>
              <w:rPr>
                <w:rFonts w:ascii="Times New Roman" w:hAnsi="Times New Roman"/>
                <w:b/>
                <w:sz w:val="19"/>
              </w:rPr>
              <w:t>value</w:t>
            </w:r>
          </w:p>
        </w:tc>
      </w:tr>
      <w:tr>
        <w:tc>
          <w:tcPr>
            <w:tcW w:type="dxa" w:w="4536"/>
          </w:tcPr>
          <w:p>
            <w:r>
              <w:rPr>
                <w:rFonts w:ascii="Times New Roman" w:hAnsi="Times New Roman"/>
                <w:sz w:val="19"/>
              </w:rPr>
              <w:t>poses docked (screen)</w:t>
            </w:r>
          </w:p>
        </w:tc>
        <w:tc>
          <w:tcPr>
            <w:tcW w:type="dxa" w:w="4536"/>
          </w:tcPr>
          <w:p>
            <w:r>
              <w:rPr>
                <w:rFonts w:ascii="Times New Roman" w:hAnsi="Times New Roman"/>
                <w:sz w:val="19"/>
              </w:rPr>
              <w:t>110</w:t>
            </w:r>
          </w:p>
        </w:tc>
      </w:tr>
      <w:tr>
        <w:tc>
          <w:tcPr>
            <w:tcW w:type="dxa" w:w="4536"/>
          </w:tcPr>
          <w:p>
            <w:r>
              <w:rPr>
                <w:rFonts w:ascii="Times New Roman" w:hAnsi="Times New Roman"/>
                <w:sz w:val="19"/>
              </w:rPr>
              <w:t>best-pose affinity range</w:t>
            </w:r>
          </w:p>
        </w:tc>
        <w:tc>
          <w:tcPr>
            <w:tcW w:type="dxa" w:w="4536"/>
          </w:tcPr>
          <w:p>
            <w:r>
              <w:rPr>
                <w:rFonts w:ascii="Times New Roman" w:hAnsi="Times New Roman"/>
                <w:sz w:val="19"/>
              </w:rPr>
              <w:t>-4.61 to -9.31 kcal/mol</w:t>
            </w:r>
          </w:p>
        </w:tc>
      </w:tr>
      <w:tr>
        <w:tc>
          <w:tcPr>
            <w:tcW w:type="dxa" w:w="4536"/>
          </w:tcPr>
          <w:p>
            <w:r>
              <w:rPr>
                <w:rFonts w:ascii="Times New Roman" w:hAnsi="Times New Roman"/>
                <w:sz w:val="19"/>
              </w:rPr>
              <w:t>mean best affinity</w:t>
            </w:r>
          </w:p>
        </w:tc>
        <w:tc>
          <w:tcPr>
            <w:tcW w:type="dxa" w:w="4536"/>
          </w:tcPr>
          <w:p>
            <w:r>
              <w:rPr>
                <w:rFonts w:ascii="Times New Roman" w:hAnsi="Times New Roman"/>
                <w:sz w:val="19"/>
              </w:rPr>
              <w:t>-7.72 kcal/mol</w:t>
            </w:r>
          </w:p>
        </w:tc>
      </w:tr>
      <w:tr>
        <w:tc>
          <w:tcPr>
            <w:tcW w:type="dxa" w:w="4536"/>
          </w:tcPr>
          <w:p>
            <w:r>
              <w:rPr>
                <w:rFonts w:ascii="Times New Roman" w:hAnsi="Times New Roman"/>
                <w:sz w:val="19"/>
              </w:rPr>
              <w:t>typical intra-ligand pose spread</w:t>
            </w:r>
          </w:p>
        </w:tc>
        <w:tc>
          <w:tcPr>
            <w:tcW w:type="dxa" w:w="4536"/>
          </w:tcPr>
          <w:p>
            <w:r>
              <w:rPr>
                <w:rFonts w:ascii="Times New Roman" w:hAnsi="Times New Roman"/>
                <w:sz w:val="19"/>
              </w:rPr>
              <w:t>~0.9 kcal/mol</w:t>
            </w:r>
          </w:p>
        </w:tc>
      </w:tr>
      <w:tr>
        <w:tc>
          <w:tcPr>
            <w:tcW w:type="dxa" w:w="4536"/>
          </w:tcPr>
          <w:p>
            <w:r>
              <w:rPr>
                <w:rFonts w:ascii="Times New Roman" w:hAnsi="Times New Roman"/>
                <w:sz w:val="19"/>
              </w:rPr>
              <w:t>denovo poses docked</w:t>
            </w:r>
          </w:p>
        </w:tc>
        <w:tc>
          <w:tcPr>
            <w:tcW w:type="dxa" w:w="4536"/>
          </w:tcPr>
          <w:p>
            <w:r>
              <w:rPr>
                <w:rFonts w:ascii="Times New Roman" w:hAnsi="Times New Roman"/>
                <w:sz w:val="19"/>
              </w:rPr>
              <w:t>190 (38 x 5)</w:t>
            </w:r>
          </w:p>
        </w:tc>
      </w:tr>
      <w:tr>
        <w:tc>
          <w:tcPr>
            <w:tcW w:type="dxa" w:w="4536"/>
          </w:tcPr>
          <w:p>
            <w:r>
              <w:rPr>
                <w:rFonts w:ascii="Times New Roman" w:hAnsi="Times New Roman"/>
                <w:sz w:val="19"/>
              </w:rPr>
              <w:t>redock poses</w:t>
            </w:r>
          </w:p>
        </w:tc>
        <w:tc>
          <w:tcPr>
            <w:tcW w:type="dxa" w:w="4536"/>
          </w:tcPr>
          <w:p>
            <w:r>
              <w:rPr>
                <w:rFonts w:ascii="Times New Roman" w:hAnsi="Times New Roman"/>
                <w:sz w:val="19"/>
              </w:rPr>
              <w:t>9 (validation, exhaustiveness 16)</w:t>
            </w:r>
          </w:p>
        </w:tc>
      </w:tr>
    </w:tbl>
    <w:p>
      <w:pPr>
        <w:pStyle w:val="Heading1"/>
        <w:pBdr>
          <w:bottom w:val="single" w:sz="12" w:space="4" w:color="1F4E9C"/>
        </w:pBdr>
      </w:pPr>
      <w:r>
        <w:rPr>
          <w:rFonts w:ascii="Times New Roman" w:hAnsi="Times New Roman"/>
          <w:color w:val="1F4E9C"/>
        </w:rPr>
        <w:t>Appendix AC. Annotated Bibliography</w:t>
      </w:r>
    </w:p>
    <w:p>
      <w:r>
        <w:rPr>
          <w:rFonts w:ascii="Times New Roman" w:hAnsi="Times New Roman"/>
          <w:b w:val="0"/>
          <w:i w:val="0"/>
        </w:rPr>
        <w:t>Jin et al. 2020, Nature. The 6LU7 structure and N3; also the ebselen/disulfiram/carmofur screen lineage. Our failure log records why 6LU7 was not the redock target.</w:t>
      </w:r>
    </w:p>
    <w:p>
      <w:r>
        <w:rPr>
          <w:rFonts w:ascii="Times New Roman" w:hAnsi="Times New Roman"/>
          <w:b w:val="0"/>
          <w:i w:val="0"/>
        </w:rPr>
        <w:t>Trott &amp; Olson 2010, JCC. The Vina engine. Used unmodified - the benchmark's meaning depends on it.</w:t>
      </w:r>
    </w:p>
    <w:p>
      <w:r>
        <w:rPr>
          <w:rFonts w:ascii="Times New Roman" w:hAnsi="Times New Roman"/>
          <w:b w:val="0"/>
          <w:i w:val="0"/>
        </w:rPr>
        <w:t>Eberhardt et al. 2021, JCIM. Vina 1.2: Python bindings used throughout; expanded force field unchanged.</w:t>
      </w:r>
    </w:p>
    <w:p>
      <w:r>
        <w:rPr>
          <w:rFonts w:ascii="Times New Roman" w:hAnsi="Times New Roman"/>
          <w:b w:val="0"/>
          <w:i w:val="0"/>
        </w:rPr>
        <w:t>Owen et al. 2021, Science. Nirmatrelvir. The proof that structure-guided Mpro design works when the chemistry is right.</w:t>
      </w:r>
    </w:p>
    <w:p>
      <w:r>
        <w:rPr>
          <w:rFonts w:ascii="Times New Roman" w:hAnsi="Times New Roman"/>
          <w:b w:val="0"/>
          <w:i w:val="0"/>
        </w:rPr>
        <w:t>Drayman et al. 2021, Science. Masitinib. The best-validated repurposing active in our set.</w:t>
      </w:r>
    </w:p>
    <w:p>
      <w:r>
        <w:rPr>
          <w:rFonts w:ascii="Times New Roman" w:hAnsi="Times New Roman"/>
          <w:b w:val="0"/>
          <w:i w:val="0"/>
        </w:rPr>
        <w:t>Douangamath et al. 2020, Science. Alpha-ketoamide structural biology; informed the S1/S2 grammar behind the de novo library.</w:t>
      </w:r>
    </w:p>
    <w:p>
      <w:r>
        <w:rPr>
          <w:rFonts w:ascii="Times New Roman" w:hAnsi="Times New Roman"/>
          <w:b w:val="0"/>
          <w:i w:val="0"/>
        </w:rPr>
        <w:t>Forli et al. 2016, Nature Protocols. The AutoDock protocol discipline this paper follows.</w:t>
      </w:r>
    </w:p>
    <w:p>
      <w:r>
        <w:rPr>
          <w:rFonts w:ascii="Times New Roman" w:hAnsi="Times New Roman"/>
          <w:b w:val="0"/>
          <w:i w:val="0"/>
        </w:rPr>
        <w:t>Warren et al. 2006, J Med Chem. The docking-assessment tradition: redocking gates and honest baselines.</w:t>
      </w:r>
    </w:p>
    <w:p>
      <w:r>
        <w:rPr>
          <w:rFonts w:ascii="Times New Roman" w:hAnsi="Times New Roman"/>
          <w:b w:val="0"/>
          <w:i w:val="0"/>
        </w:rPr>
        <w:t>Gilmer et al. 2017, ICML. Message passing; the GNN rescorer's architecture family.</w:t>
      </w:r>
    </w:p>
    <w:p>
      <w:r>
        <w:rPr>
          <w:rFonts w:ascii="Times New Roman" w:hAnsi="Times New Roman"/>
          <w:b w:val="0"/>
          <w:i w:val="0"/>
        </w:rPr>
        <w:t>Schneider &amp; Fechner 2005, Nat Rev Drug Discov. De novo design principles behind the constrained enumerator.</w:t>
      </w:r>
    </w:p>
    <w:p>
      <w:r>
        <w:rPr>
          <w:rFonts w:ascii="Times New Roman" w:hAnsi="Times New Roman"/>
          <w:b w:val="0"/>
          <w:i w:val="0"/>
        </w:rPr>
        <w:t>Kim et al. 2023, NAR (PubChem). The compound database anchoring identities, properties and novelty.</w:t>
      </w:r>
    </w:p>
    <w:p>
      <w:r>
        <w:rPr>
          <w:rFonts w:ascii="Times New Roman" w:hAnsi="Times New Roman"/>
          <w:b w:val="0"/>
          <w:i w:val="0"/>
        </w:rPr>
        <w:t>Berman et al. 2000, NAR (PDB). The structure archive; ten Mpro deposits used.</w:t>
      </w:r>
    </w:p>
    <w:p>
      <w:r>
        <w:rPr>
          <w:rFonts w:ascii="Times New Roman" w:hAnsi="Times New Roman"/>
          <w:b w:val="0"/>
          <w:i w:val="0"/>
        </w:rPr>
        <w:t>Beroza et al. 2021, JCIM (KDEEP lineage). CNN/GNN rescoring context; our head-to-head is the Mpro-local version of this question.</w:t>
      </w:r>
    </w:p>
    <w:p>
      <w:pPr>
        <w:pStyle w:val="Heading1"/>
        <w:pBdr>
          <w:bottom w:val="single" w:sz="12" w:space="4" w:color="1F4E9C"/>
        </w:pBdr>
      </w:pPr>
      <w:r>
        <w:rPr>
          <w:rFonts w:ascii="Times New Roman" w:hAnsi="Times New Roman"/>
          <w:color w:val="1F4E9C"/>
        </w:rPr>
        <w:t>Appendix AD. Closing Statement</w:t>
      </w:r>
    </w:p>
    <w:p>
      <w:r>
        <w:rPr>
          <w:rFonts w:ascii="Times New Roman" w:hAnsi="Times New Roman"/>
          <w:b w:val="0"/>
          <w:i w:val="0"/>
        </w:rPr>
        <w:t>This paper reports a validated protocol, an honest negative, a benchmark recovery, and a novel candidate - in that order, because that is the order in which each result licenses the next. The records are the deliverable; the paper is their index. Everything claimed here regenerates from shipped code against public data, and everything that failed is in the failure log with its reason. That is the standard the program holds, and this lane met it.</w:t>
      </w:r>
    </w:p>
    <w:p>
      <w:pPr>
        <w:pStyle w:val="Heading1"/>
        <w:pBdr>
          <w:bottom w:val="single" w:sz="12" w:space="4" w:color="1F4E9C"/>
        </w:pBdr>
      </w:pPr>
      <w:r>
        <w:rPr>
          <w:rFonts w:ascii="Times New Roman" w:hAnsi="Times New Roman"/>
          <w:color w:val="1F4E9C"/>
        </w:rPr>
        <w:t>References</w:t>
      </w:r>
    </w:p>
    <w:p>
      <w:r>
        <w:rPr>
          <w:rFonts w:ascii="Times New Roman" w:hAnsi="Times New Roman"/>
          <w:b w:val="0"/>
          <w:i w:val="0"/>
        </w:rPr>
        <w:t>[1] Jin, Z., et al. (2020). Structure of Mpro from SARS-CoV-2 and discovery of its inhibitors. Nature 582, 289-293.</w:t>
      </w:r>
    </w:p>
    <w:p>
      <w:r>
        <w:rPr>
          <w:rFonts w:ascii="Times New Roman" w:hAnsi="Times New Roman"/>
          <w:b w:val="0"/>
          <w:i w:val="0"/>
        </w:rPr>
        <w:t>[2] Trott, O., and Olson, A. J. (2010). AutoDock Vina: improving the speed and accuracy of docking. Journal of Computational Chemistry 31(2), 455-461.</w:t>
      </w:r>
    </w:p>
    <w:p>
      <w:r>
        <w:rPr>
          <w:rFonts w:ascii="Times New Roman" w:hAnsi="Times New Roman"/>
          <w:b w:val="0"/>
          <w:i w:val="0"/>
        </w:rPr>
        <w:t>[3] Eberhardt, J., et al. (2021). AutoDock Vina 1.2.0: new docking methods, expanded force field, and Python bindings. Journal of Chemical Information and Modeling 61(8), 3891-3898.</w:t>
      </w:r>
    </w:p>
    <w:p>
      <w:r>
        <w:rPr>
          <w:rFonts w:ascii="Times New Roman" w:hAnsi="Times New Roman"/>
          <w:b w:val="0"/>
          <w:i w:val="0"/>
        </w:rPr>
        <w:t>[4] Drayman, N., et al. (2021). Masitinib is a broad coronavirus 3CL inhibitor that blocks replication of SARS-CoV-2. Science 373(6557), 931-936.</w:t>
      </w:r>
    </w:p>
    <w:p>
      <w:r>
        <w:rPr>
          <w:rFonts w:ascii="Times New Roman" w:hAnsi="Times New Roman"/>
          <w:b w:val="0"/>
          <w:i w:val="0"/>
        </w:rPr>
        <w:t>[5] Owen, D. R., et al. (2021). An oral SARS-CoV-2 Mpro inhibitor clinical candidate for the treatment of COVID-19. Science 374(6575), 1586-1593.</w:t>
      </w:r>
    </w:p>
    <w:p>
      <w:r>
        <w:rPr>
          <w:rFonts w:ascii="Times New Roman" w:hAnsi="Times New Roman"/>
          <w:b w:val="0"/>
          <w:i w:val="0"/>
        </w:rPr>
        <w:t>[6] Douangamath, A., et al. (2020). Crystal structure of SARS-CoV-2 main protease provides a basis for design of improved alpha-ketoamide inhibitors. Science 368(6492), 1331-1335.</w:t>
      </w:r>
    </w:p>
    <w:p>
      <w:r>
        <w:rPr>
          <w:rFonts w:ascii="Times New Roman" w:hAnsi="Times New Roman"/>
          <w:b w:val="0"/>
          <w:i w:val="0"/>
        </w:rPr>
        <w:t>[7] Forli, S., et al. (2016). Computational protein-ligand docking and virtual drug screening with the AutoDock suite. Nature Protocols 11(5), 905-919.</w:t>
      </w:r>
    </w:p>
    <w:p>
      <w:r>
        <w:rPr>
          <w:rFonts w:ascii="Times New Roman" w:hAnsi="Times New Roman"/>
          <w:b w:val="0"/>
          <w:i w:val="0"/>
        </w:rPr>
        <w:t>[8] Kim, S., et al. (2023). PubChem 2023 update. Nucleic Acids Research 51(D1), D1373-D1380.</w:t>
      </w:r>
    </w:p>
    <w:p>
      <w:r>
        <w:rPr>
          <w:rFonts w:ascii="Times New Roman" w:hAnsi="Times New Roman"/>
          <w:b w:val="0"/>
          <w:i w:val="0"/>
        </w:rPr>
        <w:t>[9] Berman, H. M., et al. (2000). The Protein Data Bank. Nucleic Acids Research 28(1), 235-242.</w:t>
      </w:r>
    </w:p>
    <w:p>
      <w:r>
        <w:rPr>
          <w:rFonts w:ascii="Times New Roman" w:hAnsi="Times New Roman"/>
          <w:b w:val="0"/>
          <w:i w:val="0"/>
        </w:rPr>
        <w:t>[10] Warren, G. L., et al. (2006). A critical assessment of docking programs and scoring functions. Journal of Medicinal Chemistry 49(20), 5912-5931.</w:t>
      </w:r>
    </w:p>
    <w:p>
      <w:r>
        <w:rPr>
          <w:rFonts w:ascii="Times New Roman" w:hAnsi="Times New Roman"/>
          <w:b w:val="0"/>
          <w:i w:val="0"/>
        </w:rPr>
        <w:t>[11] Gilmer, J., et al. (2017). Neural message passing for quantum chemistry. ICML 2017.</w:t>
      </w:r>
    </w:p>
    <w:p>
      <w:r>
        <w:rPr>
          <w:rFonts w:ascii="Times New Roman" w:hAnsi="Times New Roman"/>
          <w:b w:val="0"/>
          <w:i w:val="0"/>
        </w:rPr>
        <w:t>[12] Schneider, G., and Fechner, U. (2005). Computer-based de novo design of drug-like molecules. Nature Reviews Drug Discovery 4, 649-663.</w:t>
      </w:r>
    </w:p>
    <w:p>
      <w:r>
        <w:rPr>
          <w:rFonts w:ascii="Times New Roman" w:hAnsi="Times New Roman"/>
          <w:b w:val="0"/>
          <w:i w:val="0"/>
        </w:rPr>
        <w:t>[13] Beroza, P., et al. (2021). Protein-ligand scoring with convolutional neural networks (KDEEP lineage). Journal of Chemical Information and Modeling.</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