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 benchmark head-to-head: a pose-graph neural rescorer trained on re-docked poses lifts leave-one-out AUROC to 0.871 +/- 0.050 (5 seeds) versus 0.679 for a descriptor MLP and 0.339 for the raw engine, on the same 15 labeled compounds. That 15-compound ladder is the pilot; the primary benchmark is the 59-compound scaffold-grouped bigscreen, where raw Vina sits at 0.534 and both learned rescorers reach 0.830 (MLP) / 0.833 +/- 0.010 (2D-GNN) - learned rescoring, not a winner between learned families, is the verdict at this n. (3) A de novo candidate, MPRO-D1, docking at -8.76 kcal/mol under the validated protocol, maximally dissimilar to every screened drug (Tanimoto 0.16), verified absent from PubChem as an exact structure, with close analogs disclosed. (4) The baseline that anchors the benchmark, reported as measured: raw Vina affinity does NOT rank actives above inactives on this set (AUROC 0.339, below random; top-8 hypergeometric p = 0.900) - without that negative the rescorer numbers would be unanchored.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rPr>
          <w:rFonts w:ascii="Times New Roman" w:hAnsi="Times New Roman"/>
          <w:b w:val="0"/>
          <w:i w:val="0"/>
        </w:rPr>
        <w:t>UPDATE - MERGED ARCHITECTURE BENCHMARK (results/ablation.json): every scorer retrained on the same 59-compound label set under the same five scaffold-grouped splits, with preregistered controls. The pose-graph GNN (0.782) does NOT beat the 2D bond-graph GNN (0.902) or its own coordinate controls (random 0.831, shuffled 0.830); the pose-geometry superiority claim from the n = 15 pilot is withdrawn. No Vina leakage (descriptor drop without the engine feature: 0.006 against a &gt;0.05 gate). Random-label control sane (0.525). The standing result: learned rescoring beats raw Vina (0.540) by roughly 0.4 AUROC whichever learned family is used; fusion (0.931) is numerically best, descriptively.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This study delivers a validated structure-based discovery pipeline for the SARS-CoV-2 main protease (Mpro), a quantified head-to-head benchmark of learned rescoring against the empirical docking engine, and MPRO-D1, a novel de novo candidate with a live-verified novelty record. Using the real AutoDock Vina 1.2 engine, we validate the protocol by redocking the non-covalent inhibitor JUN8-76-3A into Mpro (PDB 7KX5): the docked pose reproduces the experimental binding mode at 0.97 A heavy-atom RMSD, inside the community-standard 2.0 A gate, at -9.32 kcal/mol. Docking a curated set of 22 real approved and clinical compounds with literature Mpro labels sets the baseline the benchmark must beat, and it is reported as measured: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The primary benchmark is the scaffold-grouped 59-compound label set; the original 15-compound ladder is retained as a pilot calibration, not the headline. A merged architecture benchmark on that label set (all scorers under one scaffold-split protocol with preregistered controls) overturns the pilot's pose-geometry edge: the pose-graph GNN (0.782) trails the 2D graph (0.902) and its own shuffled-coordinate controls, so the pose-geometry superiority claim is withdrawn and learned rescoring as such - not a winning architecture - is the supported result. What this is not: not a validated inhibitor, not a clinical candidate, and not a synthesis plan - MPRO-D1 is a docking-ranked hypothesis with a live-verified novelty record. The limitations - rigid receptor, no covalency, hydration unmodeled - are stated where they bite - including a preregistered reactive-engine self-redock audit that fails its locked criterion (Section 3.1b), so no covalent scoring capability is claimed.</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r>
        <w:rPr>
          <w:rFonts w:ascii="Times New Roman" w:hAnsi="Times New Roman"/>
          <w:b w:val="0"/>
          <w:i w:val="0"/>
        </w:rPr>
        <w:t>Three preregistered supporting audits - transfer of the validated protocol to a second structure and chemotype, rank transfer across receptor structures, and a gated hydration-feature test - are preserved in full as Appendices AE, AF and AG. Their verdicts are unchanged and feed the Discussion; the main text now keeps the pillars only: the validated protocol and the benchmark built on it, the honest negatives, and the candidate.</w:t>
      </w:r>
    </w:p>
    <w:p>
      <w:pPr>
        <w:pStyle w:val="Heading2"/>
      </w:pPr>
      <w:r>
        <w:rPr>
          <w:rFonts w:ascii="Times New Roman" w:hAnsi="Times New Roman"/>
          <w:color w:val="1F4E9C"/>
        </w:rPr>
        <w:t>3.1b Covalent docking audit (bounded preregistration): a runnable engine and a plain negative</w:t>
      </w:r>
    </w:p>
    <w:p>
      <w:r>
        <w:rPr>
          <w:rFonts w:ascii="Times New Roman" w:hAnsi="Times New Roman"/>
          <w:b w:val="0"/>
          <w:i w:val="0"/>
        </w:rPr>
        <w:t>The pipeline above is non-covalent, and the pocket's best-known ligands act by bonding the catalytic cysteine - so a fair question is whether this lane can score such compounds at all. Before any covalent run we locked a bounded branch (docs/PREREG_COVALENT_BOUNDED_20260928.md): first establish whether a reactive-capable engine can run here at all, and if it can, audit it by self-redocking the ligands of two crystallographic covalent complexes of the same protease (7VH8 at 1.59 A and 7C6S at 1.6 A; identities verified against RCSB), three fixed seeds each, with the decision rule fixed in advance: best-energy-pose heavy-atom RMSD at or below 2.0 A against the crystallographic ligand in at least two of three seeds counts as a successful self-redock. The branch was explicitly bounded: no activity ranking, no cross-structure docking, and a failed redock reported as a plain negative.</w:t>
      </w:r>
    </w:p>
    <w:p>
      <w:r>
        <w:rPr>
          <w:rFonts w:ascii="Times New Roman" w:hAnsi="Times New Roman"/>
          <w:b w:val="0"/>
          <w:i w:val="0"/>
        </w:rPr>
        <w:t>Engine acquisition succeeded inside the locked budget. The prebuilt AutoDock-GPU binary starts but cannot dock on this machine (no OpenCL platform), so autodock4 4.2.7.x and autogrid4 4.2.8 were compiled from the official project sources (provenance and binary checksums in docs/COVALENT_RUNLOG_20260928.md) and wired for classic reactive docking with a flexible Cys145 sidechain: per complex, three seeds of ten Lamarckian runs at one million evaluations each, in a 24 A box over the pocket.</w:t>
      </w:r>
    </w:p>
    <w:p>
      <w:r>
        <w:rPr>
          <w:rFonts w:ascii="Times New Roman" w:hAnsi="Times New Roman"/>
          <w:b w:val="0"/>
          <w:i w:val="0"/>
        </w:rPr>
        <w:t>Outcome, reported as measured (results/covalent_redock.json). For 7VH8 the best-pose RMSDs across the three seeds are 14.79, 21.94 and 22.20 A; for 7C6S they are 10.83, 6.93 and 9.38 A. No seed of either complex reaches the locked 2.0 A criterion: self-redock FAILS for both, and the covalent branch is NOT SUPPORTED on this audit. Atom matching for the RMSD was coordinate-free (docked serial to ligand SMILES to crystal adduct by maximum common substructure, symmetry-corrected) and covered every heavy atom (35/35 and 37/37), so the negative is not a matching artifact.</w:t>
      </w:r>
    </w:p>
    <w:p>
      <w:r>
        <w:rPr>
          <w:rFonts w:ascii="Times New Roman" w:hAnsi="Times New Roman"/>
          <w:b w:val="0"/>
          <w:i w:val="0"/>
        </w:rPr>
        <w:t>One observation, recorded post-hoc and explicitly not used to move any threshold: the locked input generator wrote the pair minima between the flexible-sidechain marker atoms and the ligand as sums of atomic radii (8.0, 7.5 and 7.2 A) instead of the engine's arithmetic-mean combining rule. The engine flagged every one of those lines at parse time as outside its 0.9-6.0 A sanity range, and the 7VH8 docked energies are physically absurd (about +4e6 kcal/mol). Part of the measured failure is therefore attributable to the locked parameterization rather than to the reactive-docking method itself. Under the preregistration rule the runs stand as the locked outcome and the negative is reported as measured; a corrected-parameterization rerun would be a new experiment needing its own dated preregistration. The honest summary: the lane can run a reactive engine, but it does not today have a validated covalent scoring path, and the non-covalent numbers above are the whole of the supported result.</w:t>
      </w:r>
    </w:p>
    <w:p>
      <w:r>
        <w:rPr>
          <w:rFonts w:ascii="Times New Roman" w:hAnsi="Times New Roman"/>
          <w:b w:val="0"/>
          <w:i w:val="0"/>
        </w:rPr>
        <w:t>A corrected-parameterization branch was then executed under its own dated preregistration (docs/PREREG_COVALENT_CORRECTED_20260928.md), locked before any outcome: identical protocol, seeds, analysis code and decision rule, with only the marker-atom pair minima rebuilt under the engine's arithmetic-mean combining rule. The engine parsed the corrected table without a single sanity warning, and the outcome is the locked outcome to the last digit: every docked coordinate and every reported energy is identical across all six runs, giving corrected best-pose RMSDs of 14.79, 21.94 and 22.20 A for 7VH8 and 10.83, 6.93 and 9.38 A for 7C6S, again 0 of 3 seeds passing in each complex (results/covalent_redock_corrected.json). Two conclusions follow. The corrected branch is itself a plain negative and leaves the verdict above untouched. And the post-hoc suspicion recorded above is empirically falsified: doubling or halving the marker-atom pair minima moved no coordinate and no energy anywhere in the six runs, so those terms played no measurable scored role in this configuration, and the locked failure cannot be attributed to the radius-sum parameterization error. What drives the failure inside the reactive setup remains unidentified; no covalent capability is claimed on either branch.</w:t>
      </w:r>
    </w:p>
    <w:p>
      <w:pPr>
        <w:pStyle w:val="Heading2"/>
      </w:pPr>
      <w:r>
        <w:rPr>
          <w:rFonts w:ascii="Times New Roman" w:hAnsi="Times New Roman"/>
          <w:color w:val="1F4E9C"/>
        </w:rPr>
        <w:t>3.1c Constraint-guided placement audit: verified constraint machinery, an inconclusive first execution</w:t>
      </w:r>
    </w:p>
    <w:p>
      <w:r>
        <w:rPr>
          <w:rFonts w:ascii="Times New Roman" w:hAnsi="Times New Roman"/>
          <w:b w:val="0"/>
          <w:i w:val="0"/>
        </w:rPr>
        <w:t>A second route to the same covalent question was locked before any outcome (docs/PREREG_CONSTRAINT_GUIDED_12B_20260928.md): add one fixed Gaussian well, centred on the crystallographic attachment point, to a single atom-type affinity map, hold every other element of the protocol constant, and ask whether the constrained search then reproduces the crystallographic pose under the same decision rule as the audits above (best-energy pose, 2.0 A, at least two of three fixed seeds, on the same two complexes). The constraint machinery passed all three locked integrity gates before any outcome was read: score-only evaluation recovered the added well exactly (observed energy shift -2.6014 kcal/mol against -2.6014 expected for 7VH8; -2.6863 against -2.6863 for 7C6S), a byte-level audit confirmed that only the intended map file differed from engine-generated output, and the pose matcher mapped each crystallographic adduct onto itself at 0.0 A.</w:t>
      </w:r>
    </w:p>
    <w:p>
      <w:r>
        <w:rPr>
          <w:rFonts w:ascii="Times New Roman" w:hAnsi="Times New Roman"/>
          <w:b w:val="0"/>
          <w:i w:val="0"/>
        </w:rPr>
        <w:t>The locked engine for this branch, the Vina 1.2.7 Python bindings, could not read grid maps in this environment: the map loader fails to discover existing map files, the map writer crashes, and no compatible earlier build is installable. Under a dated amendment preregistration committed before any arm executed (docs/PREREG_CONSTRAINT_GUIDED_12B_AMENDMENT_ENGINE_20260928.md), the identical constraint, maps, seeds and decision rule were therefore run on the autodock4 4.2.7.x engine compiled for the audit of Section 3.1b. This is an engine substitution from the original lock and is disclosed as such; every other locked element carried over unchanged.</w:t>
      </w:r>
    </w:p>
    <w:p>
      <w:r>
        <w:rPr>
          <w:rFonts w:ascii="Times New Roman" w:hAnsi="Times New Roman"/>
          <w:b w:val="0"/>
          <w:i w:val="0"/>
        </w:rPr>
        <w:t>Outcome, reported as measured (results/constraint_guided_12b.json): under the locked criterion the result is NOT SUPPORTED, with best-pose RMSDs of 22.31, 22.55 and 15.15 A for 7VH8 and 7.59, 8.61 and 7.05 A for 7C6S - zero of three seeds passing in either complex. Two measured facts show that this execution did not actually test the constraint question. In all six constrained runs, every reported model energy and the best-pose coordinates are identical at full precision to the control runs that lacked the well, so the verified bias had no measurable effect on the search; and the 7VH8 docked energies are physically implausible (about +4.1e6 kcal/mol), the same signature as the mis-parameterized reactive runs of Section 3.1b. This execution is therefore recorded as machinery-limited: it neither supports nor falsifies constraint-guided placement, and it does not count toward exhaustion of the question. The adjudicated next test is the originally locked Vina engine built from source; only if that build also fails mechanically is the question declared machinery-exhausted, at which point the study pivots under a new dated preregistration.</w:t>
      </w:r>
    </w:p>
    <w:p>
      <w:pPr>
        <w:pStyle w:val="Heading2"/>
      </w:pPr>
      <w:r>
        <w:rPr>
          <w:rFonts w:ascii="Times New Roman" w:hAnsi="Times New Roman"/>
          <w:color w:val="1F4E9C"/>
        </w:rPr>
        <w:t>3.1d Constraint-guided placement audit, continued: the locked engine recovered, the question machinery-exhausted</w:t>
      </w:r>
    </w:p>
    <w:p>
      <w:r>
        <w:rPr>
          <w:rFonts w:ascii="Times New Roman" w:hAnsi="Times New Roman"/>
          <w:b w:val="0"/>
          <w:i w:val="0"/>
        </w:rPr>
        <w:t>The originally locked engine was then recovered: AutoDock Vina 1.2.7 was built from source in this environment (tag v1.2.7, static link), and the original 12B lock was executed with the intended engine for the first time. The build also resolved the map-loading blocker at its root: with the vina scoring function the map loader discovers grid files by X-Score atom-type names rather than AD4 type names, so the previously suspected packaging defect was no defect at all - the from-source build behaves identically. Byte-identical map views under the expected names restored map loading without altering any locked map value, and two of the three locked integrity gates passed: the byte audit confirmed that only the intended map differs, and the pose matcher again self-mapped at 0.0 A.</w:t>
      </w:r>
    </w:p>
    <w:p>
      <w:r>
        <w:rPr>
          <w:rFonts w:ascii="Times New Roman" w:hAnsi="Times New Roman"/>
          <w:b w:val="0"/>
          <w:i w:val="0"/>
        </w:rPr>
        <w:t>The lock's first integrity gate, however, rested on a false premise, discovered before any docking arm ran: it presumed that Vina-computed grids and the locked autogrid AD4-potential maps would score a fixed pose equivalently, and they differ by 6,374.5 and 5,336.1 kcal/mol on the two complexes against a locked tolerance of 0.05 - different potential sets, not a constraint failure. Under a second dated amendment committed before any arm executed (docs/PREREG_CONSTRAINT_GUIDED_12B_AMENDMENT_G1_20260928.md), that gate was replaced with a well-recovery gate of the same form the substituted engine had passed: score a probe pose anchored with its warhead exactly on the crystallographic attachment point against the unmodified and biased map sets, requiring the measured shift to match the map-implied shift within 0.05 kcal/mol, the tolerance locked before the gate was run.</w:t>
      </w:r>
    </w:p>
    <w:p>
      <w:r>
        <w:rPr>
          <w:rFonts w:ascii="Times New Roman" w:hAnsi="Times New Roman"/>
          <w:b w:val="0"/>
          <w:i w:val="0"/>
        </w:rPr>
        <w:t>The corrected gate fails on both complexes: measured shifts of -1.704 and -1.635 kcal/mol against map-implied shifts of -2.601 and -2.686 kcal/mol (absolute errors 0.897 and 1.051 against the locked 0.05 tolerance; the engine scorings are exactly deterministic and the byte audit and self-map checks passed). The measured shift is present and correctly signed but does not match the locked expectation, so delivery of the well into this engine's grid evaluation cannot be verified, and no docking arm was run. With four machinery limitations now documented in sequence - the map-discovery blocker, the substituted engine's undelivered constraint (Section 3.1c), the original lock's false-premise gate, and the failed well-recovery gate - the constraint-guided question is declared machinery-exhausted in this environment: it cannot be tested here under locked, verifiable conditions. Per the adjudicated pivot order the study turns to the remaining preregistered route, a native covalent engine, under a new dated preregistration.</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among the 15 labeled compounds (unlabeled ligands excluded)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 - until Section 3.3d, which reruns every architecture on this label set and decides the question (against the pose architecture).</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3"/>
      </w:pPr>
      <w:r>
        <w:rPr>
          <w:rFonts w:ascii="Times New Roman" w:hAnsi="Times New Roman"/>
          <w:color w:val="1F4E9C"/>
        </w:rPr>
        <w:t>3.3d The merged benchmark: every architecture on one scaffold split</w:t>
      </w:r>
    </w:p>
    <w:p>
      <w:r>
        <w:rPr>
          <w:rFonts w:ascii="Times New Roman" w:hAnsi="Times New Roman"/>
          <w:b w:val="0"/>
          <w:i w:val="0"/>
        </w:rPr>
        <w:t>Sections 3.3-3.3c compared architectures in pairs, on different label sets and different caches - a limitation flagged above as 'reported, not merged'. The merged benchmark (studies/study12_ablation.py, results/ablation.json) closes that gap: every scorer retrained on the SAME 59-compound label set under the SAME five scaffold-grouped splits (seeds 0-4), with the controls and gates preregistered before any outcome was seen. Pose coverage is 52 of 59 labels: seven compounds hit the declared 120-second docking timeout (CHEMBL445978, CHEMBL4877763, atazanavir, indinavir, lopinavir, saquinavir, telaprevir) and are excluded from the pose arms only, never from the pose-free arms. The pose-available subset is mildly enriched for actives (0.60 vs 0.54 overall; similar molecular weight, rotatable bonds and logP) - reported descriptively; no gate depends on it.</w:t>
      </w:r>
    </w:p>
    <w:p>
      <w:r>
        <w:rPr>
          <w:rFonts w:ascii="Times New Roman" w:hAnsi="Times New Roman"/>
          <w:b w:val="0"/>
          <w:i/>
        </w:rPr>
        <w:t>Table 2c. Merged architecture benchmark - mean AUROC over five scaffold-grouped splits, n = 59 labeled compounds (95% CI across splits in brackets).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mean AUROC [95% CI]</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0.540 [0.35-0.68]</w:t>
            </w:r>
          </w:p>
        </w:tc>
      </w:tr>
      <w:tr>
        <w:tc>
          <w:tcPr>
            <w:tcW w:type="dxa" w:w="3024"/>
          </w:tcPr>
          <w:p>
            <w:r>
              <w:rPr>
                <w:rFonts w:ascii="Times New Roman" w:hAnsi="Times New Roman"/>
                <w:sz w:val="19"/>
              </w:rPr>
              <w:t>descriptor MLP (8 features)</w:t>
            </w:r>
          </w:p>
        </w:tc>
        <w:tc>
          <w:tcPr>
            <w:tcW w:type="dxa" w:w="3024"/>
          </w:tcPr>
          <w:p>
            <w:r>
              <w:rPr>
                <w:rFonts w:ascii="Times New Roman" w:hAnsi="Times New Roman"/>
                <w:sz w:val="19"/>
              </w:rPr>
              <w:t>7 physchem + Vina-derived</w:t>
            </w:r>
          </w:p>
        </w:tc>
        <w:tc>
          <w:tcPr>
            <w:tcW w:type="dxa" w:w="3024"/>
          </w:tcPr>
          <w:p>
            <w:r>
              <w:rPr>
                <w:rFonts w:ascii="Times New Roman" w:hAnsi="Times New Roman"/>
                <w:sz w:val="19"/>
              </w:rPr>
              <w:t>0.921 [0.87-0.97]</w:t>
            </w:r>
          </w:p>
        </w:tc>
      </w:tr>
      <w:tr>
        <w:tc>
          <w:tcPr>
            <w:tcW w:type="dxa" w:w="3024"/>
          </w:tcPr>
          <w:p>
            <w:r>
              <w:rPr>
                <w:rFonts w:ascii="Times New Roman" w:hAnsi="Times New Roman"/>
                <w:sz w:val="19"/>
              </w:rPr>
              <w:t>descriptor MLP (7 features)</w:t>
            </w:r>
          </w:p>
        </w:tc>
        <w:tc>
          <w:tcPr>
            <w:tcW w:type="dxa" w:w="3024"/>
          </w:tcPr>
          <w:p>
            <w:r>
              <w:rPr>
                <w:rFonts w:ascii="Times New Roman" w:hAnsi="Times New Roman"/>
                <w:sz w:val="19"/>
              </w:rPr>
              <w:t>physchem only</w:t>
            </w:r>
          </w:p>
        </w:tc>
        <w:tc>
          <w:tcPr>
            <w:tcW w:type="dxa" w:w="3024"/>
          </w:tcPr>
          <w:p>
            <w:r>
              <w:rPr>
                <w:rFonts w:ascii="Times New Roman" w:hAnsi="Times New Roman"/>
                <w:sz w:val="19"/>
              </w:rPr>
              <w:t>0.915 [0.86-0.95]</w:t>
            </w:r>
          </w:p>
        </w:tc>
      </w:tr>
      <w:tr>
        <w:tc>
          <w:tcPr>
            <w:tcW w:type="dxa" w:w="3024"/>
          </w:tcPr>
          <w:p>
            <w:r>
              <w:rPr>
                <w:rFonts w:ascii="Times New Roman" w:hAnsi="Times New Roman"/>
                <w:sz w:val="19"/>
              </w:rPr>
              <w:t>2D molecular-graph GNN</w:t>
            </w:r>
          </w:p>
        </w:tc>
        <w:tc>
          <w:tcPr>
            <w:tcW w:type="dxa" w:w="3024"/>
          </w:tcPr>
          <w:p>
            <w:r>
              <w:rPr>
                <w:rFonts w:ascii="Times New Roman" w:hAnsi="Times New Roman"/>
                <w:sz w:val="19"/>
              </w:rPr>
              <w:t>bond graph, no pose</w:t>
            </w:r>
          </w:p>
        </w:tc>
        <w:tc>
          <w:tcPr>
            <w:tcW w:type="dxa" w:w="3024"/>
          </w:tcPr>
          <w:p>
            <w:r>
              <w:rPr>
                <w:rFonts w:ascii="Times New Roman" w:hAnsi="Times New Roman"/>
                <w:sz w:val="19"/>
              </w:rPr>
              <w:t>0.902 [0.78-0.98]</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0.782 [0.56-0.95]</w:t>
            </w:r>
          </w:p>
        </w:tc>
      </w:tr>
      <w:tr>
        <w:tc>
          <w:tcPr>
            <w:tcW w:type="dxa" w:w="3024"/>
          </w:tcPr>
          <w:p>
            <w:r>
              <w:rPr>
                <w:rFonts w:ascii="Times New Roman" w:hAnsi="Times New Roman"/>
                <w:sz w:val="19"/>
              </w:rPr>
              <w:t>fusion (pose graph + descriptors)</w:t>
            </w:r>
          </w:p>
        </w:tc>
        <w:tc>
          <w:tcPr>
            <w:tcW w:type="dxa" w:w="3024"/>
          </w:tcPr>
          <w:p>
            <w:r>
              <w:rPr>
                <w:rFonts w:ascii="Times New Roman" w:hAnsi="Times New Roman"/>
                <w:sz w:val="19"/>
              </w:rPr>
              <w:t>both</w:t>
            </w:r>
          </w:p>
        </w:tc>
        <w:tc>
          <w:tcPr>
            <w:tcW w:type="dxa" w:w="3024"/>
          </w:tcPr>
          <w:p>
            <w:r>
              <w:rPr>
                <w:rFonts w:ascii="Times New Roman" w:hAnsi="Times New Roman"/>
                <w:sz w:val="19"/>
              </w:rPr>
              <w:t>0.931 [0.87-0.98]</w:t>
            </w:r>
          </w:p>
        </w:tc>
      </w:tr>
      <w:tr>
        <w:tc>
          <w:tcPr>
            <w:tcW w:type="dxa" w:w="3024"/>
          </w:tcPr>
          <w:p>
            <w:r>
              <w:rPr>
                <w:rFonts w:ascii="Times New Roman" w:hAnsi="Times New Roman"/>
                <w:sz w:val="19"/>
              </w:rPr>
              <w:t>control: pose-GNN, random coordinates</w:t>
            </w:r>
          </w:p>
        </w:tc>
        <w:tc>
          <w:tcPr>
            <w:tcW w:type="dxa" w:w="3024"/>
          </w:tcPr>
          <w:p>
            <w:r>
              <w:rPr>
                <w:rFonts w:ascii="Times New Roman" w:hAnsi="Times New Roman"/>
                <w:sz w:val="19"/>
              </w:rPr>
              <w:t>structure-blind pose net</w:t>
            </w:r>
          </w:p>
        </w:tc>
        <w:tc>
          <w:tcPr>
            <w:tcW w:type="dxa" w:w="3024"/>
          </w:tcPr>
          <w:p>
            <w:r>
              <w:rPr>
                <w:rFonts w:ascii="Times New Roman" w:hAnsi="Times New Roman"/>
                <w:sz w:val="19"/>
              </w:rPr>
              <w:t>0.831 [0.64-0.96]</w:t>
            </w:r>
          </w:p>
        </w:tc>
      </w:tr>
      <w:tr>
        <w:tc>
          <w:tcPr>
            <w:tcW w:type="dxa" w:w="3024"/>
          </w:tcPr>
          <w:p>
            <w:r>
              <w:rPr>
                <w:rFonts w:ascii="Times New Roman" w:hAnsi="Times New Roman"/>
                <w:sz w:val="19"/>
              </w:rPr>
              <w:t>control: pose-GNN, coords shuffled in scaffold</w:t>
            </w:r>
          </w:p>
        </w:tc>
        <w:tc>
          <w:tcPr>
            <w:tcW w:type="dxa" w:w="3024"/>
          </w:tcPr>
          <w:p>
            <w:r>
              <w:rPr>
                <w:rFonts w:ascii="Times New Roman" w:hAnsi="Times New Roman"/>
                <w:sz w:val="19"/>
              </w:rPr>
              <w:t>same poses, geometry scrambled</w:t>
            </w:r>
          </w:p>
        </w:tc>
        <w:tc>
          <w:tcPr>
            <w:tcW w:type="dxa" w:w="3024"/>
          </w:tcPr>
          <w:p>
            <w:r>
              <w:rPr>
                <w:rFonts w:ascii="Times New Roman" w:hAnsi="Times New Roman"/>
                <w:sz w:val="19"/>
              </w:rPr>
              <w:t>0.830 [0.64-0.96]</w:t>
            </w:r>
          </w:p>
        </w:tc>
      </w:tr>
      <w:tr>
        <w:tc>
          <w:tcPr>
            <w:tcW w:type="dxa" w:w="3024"/>
          </w:tcPr>
          <w:p>
            <w:r>
              <w:rPr>
                <w:rFonts w:ascii="Times New Roman" w:hAnsi="Times New Roman"/>
                <w:sz w:val="19"/>
              </w:rPr>
              <w:t>control: 2D-GNN, random labels</w:t>
            </w:r>
          </w:p>
        </w:tc>
        <w:tc>
          <w:tcPr>
            <w:tcW w:type="dxa" w:w="3024"/>
          </w:tcPr>
          <w:p>
            <w:r>
              <w:rPr>
                <w:rFonts w:ascii="Times New Roman" w:hAnsi="Times New Roman"/>
                <w:sz w:val="19"/>
              </w:rPr>
              <w:t>sanity bound</w:t>
            </w:r>
          </w:p>
        </w:tc>
        <w:tc>
          <w:tcPr>
            <w:tcW w:type="dxa" w:w="3024"/>
          </w:tcPr>
          <w:p>
            <w:r>
              <w:rPr>
                <w:rFonts w:ascii="Times New Roman" w:hAnsi="Times New Roman"/>
                <w:sz w:val="19"/>
              </w:rPr>
              <w:t>0.525 [0.42-0.61]</w:t>
            </w:r>
          </w:p>
        </w:tc>
      </w:tr>
    </w:tbl>
    <w:p>
      <w:r>
        <w:rPr>
          <w:rFonts w:ascii="Times New Roman" w:hAnsi="Times New Roman"/>
          <w:b w:val="0"/>
          <w:i w:val="0"/>
        </w:rPr>
        <w:t>VERDICT 1 - the pose-geometry claim fails and is withdrawn. The pose-graph GNN scores 0.782 mean AUROC - BELOW the 2D bond-graph GNN (0.902) and below BOTH of its own coordinate controls (random coordinates 0.831, scaffold-shuffled coordinates 0.830). The preregistered gate required the pose model to strictly exceed the 2D graph AND both controls; it fails on every count, and the seed-0 DeLong tests give no edge anywhere (pose vs 2D p = 0.40; pose vs random coordinates p = 1.00; pose vs shuffled p = 0.82). The pilot finding at n = 15 - that pose geometry carries nearly all of the recoverable signal - does not survive scaffold-grouped evaluation at n = 59 and is retired as small-n luck. Every claim in this paper that rested on pose-geometry superiority (the 'recovery curve' framing included) is withdrawn to that extent. What survives is learned rescoring itself: EVERY learned family beats the raw engine by roughly 0.4 AUROC on the same labels and splits.</w:t>
      </w:r>
    </w:p>
    <w:p>
      <w:r>
        <w:rPr>
          <w:rFonts w:ascii="Times New Roman" w:hAnsi="Times New Roman"/>
          <w:b w:val="0"/>
          <w:i w:val="0"/>
        </w:rPr>
        <w:t>VERDICT 2 - no Vina leakage. The descriptor MLP trained WITHOUT the Vina-derived feature scores 0.915, against 0.921 with it. The preregistered leakage gate (&gt;0.05 drop without the feature would have meant the scaffold-split result rides on the engine's own score) is not triggered: the actual drop is 0.006. The learned-rescoring verdict is not Vina-leakage-driven.</w:t>
      </w:r>
    </w:p>
    <w:p>
      <w:r>
        <w:rPr>
          <w:rFonts w:ascii="Times New Roman" w:hAnsi="Times New Roman"/>
          <w:b w:val="0"/>
          <w:i w:val="0"/>
        </w:rPr>
        <w:t>VERDICT 3 - the harness is sane, and fusion is descriptive only. The 2D-GNN on randomized labels sits at 0.525 mean AUROC (worst split 0.625, preregistered bound 0.65): the pipeline does not invent separation where none exists. The fusion model is the numerically best scorer (0.931) but is within noise of the plain descriptor MLP (seed-0 DeLong fusion vs pose p = 0.37, the only preregistered fusion comparison, is not decisive), so the fusion number is reported descriptively with no superiority claim. The honest headline at n = 59: learned rescoring - any learned family - beats the physics-empirical engine; the choice among learned architectures is undecided at this n, and the pose graph in particular confers no measurable advantage.</w:t>
      </w:r>
    </w:p>
    <w:p>
      <w:r>
        <w:rPr>
          <w:rFonts w:ascii="Times New Roman" w:hAnsi="Times New Roman"/>
          <w:b w:val="0"/>
          <w:i/>
        </w:rPr>
        <w:t>Table 2d. Post-outcome paired DeLong 95% CIs (normal approximation, unbounded) for the four predeclared seed-0 contrasts, on the n = 14 pose-available held-out subset (9 positives, 5 negatives) - a single split, NOT an all-pairs grid and not CIs for the five-split means.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contrast</w:t>
            </w:r>
          </w:p>
        </w:tc>
        <w:tc>
          <w:tcPr>
            <w:tcW w:type="dxa" w:w="1814"/>
            <w:shd w:val="clear" w:fill="DCE6F1"/>
          </w:tcPr>
          <w:p>
            <w:r>
              <w:rPr>
                <w:rFonts w:ascii="Times New Roman" w:hAnsi="Times New Roman"/>
                <w:b/>
                <w:sz w:val="19"/>
              </w:rPr>
              <w:t>AUROC A</w:t>
            </w:r>
          </w:p>
        </w:tc>
        <w:tc>
          <w:tcPr>
            <w:tcW w:type="dxa" w:w="1814"/>
            <w:shd w:val="clear" w:fill="DCE6F1"/>
          </w:tcPr>
          <w:p>
            <w:r>
              <w:rPr>
                <w:rFonts w:ascii="Times New Roman" w:hAnsi="Times New Roman"/>
                <w:b/>
                <w:sz w:val="19"/>
              </w:rPr>
              <w:t>AUROC B</w:t>
            </w:r>
          </w:p>
        </w:tc>
        <w:tc>
          <w:tcPr>
            <w:tcW w:type="dxa" w:w="1814"/>
            <w:shd w:val="clear" w:fill="DCE6F1"/>
          </w:tcPr>
          <w:p>
            <w:r>
              <w:rPr>
                <w:rFonts w:ascii="Times New Roman" w:hAnsi="Times New Roman"/>
                <w:b/>
                <w:sz w:val="19"/>
              </w:rPr>
              <w:t>diff (A - B)</w:t>
            </w:r>
          </w:p>
        </w:tc>
        <w:tc>
          <w:tcPr>
            <w:tcW w:type="dxa" w:w="1814"/>
            <w:shd w:val="clear" w:fill="DCE6F1"/>
          </w:tcPr>
          <w:p>
            <w:r>
              <w:rPr>
                <w:rFonts w:ascii="Times New Roman" w:hAnsi="Times New Roman"/>
                <w:b/>
                <w:sz w:val="19"/>
              </w:rPr>
              <w:t>95% CI (DeLong)</w:t>
            </w:r>
          </w:p>
        </w:tc>
      </w:tr>
      <w:tr>
        <w:tc>
          <w:tcPr>
            <w:tcW w:type="dxa" w:w="1814"/>
          </w:tcPr>
          <w:p>
            <w:r>
              <w:rPr>
                <w:rFonts w:ascii="Times New Roman" w:hAnsi="Times New Roman"/>
                <w:sz w:val="19"/>
              </w:rPr>
              <w:t>pose GNN vs 2D GNN</w:t>
            </w:r>
          </w:p>
        </w:tc>
        <w:tc>
          <w:tcPr>
            <w:tcW w:type="dxa" w:w="1814"/>
          </w:tcPr>
          <w:p>
            <w:r>
              <w:rPr>
                <w:rFonts w:ascii="Times New Roman" w:hAnsi="Times New Roman"/>
                <w:sz w:val="19"/>
              </w:rPr>
              <w:t>0.933</w:t>
            </w:r>
          </w:p>
        </w:tc>
        <w:tc>
          <w:tcPr>
            <w:tcW w:type="dxa" w:w="1814"/>
          </w:tcPr>
          <w:p>
            <w:r>
              <w:rPr>
                <w:rFonts w:ascii="Times New Roman" w:hAnsi="Times New Roman"/>
                <w:sz w:val="19"/>
              </w:rPr>
              <w:t>0.978</w:t>
            </w:r>
          </w:p>
        </w:tc>
        <w:tc>
          <w:tcPr>
            <w:tcW w:type="dxa" w:w="1814"/>
          </w:tcPr>
          <w:p>
            <w:r>
              <w:rPr>
                <w:rFonts w:ascii="Times New Roman" w:hAnsi="Times New Roman"/>
                <w:sz w:val="19"/>
              </w:rPr>
              <w:t>-0.0444</w:t>
            </w:r>
          </w:p>
        </w:tc>
        <w:tc>
          <w:tcPr>
            <w:tcW w:type="dxa" w:w="1814"/>
          </w:tcPr>
          <w:p>
            <w:r>
              <w:rPr>
                <w:rFonts w:ascii="Times New Roman" w:hAnsi="Times New Roman"/>
                <w:sz w:val="19"/>
              </w:rPr>
              <w:t>[-0.1489, +0.0600]</w:t>
            </w:r>
          </w:p>
        </w:tc>
      </w:tr>
      <w:tr>
        <w:tc>
          <w:tcPr>
            <w:tcW w:type="dxa" w:w="1814"/>
          </w:tcPr>
          <w:p>
            <w:r>
              <w:rPr>
                <w:rFonts w:ascii="Times New Roman" w:hAnsi="Times New Roman"/>
                <w:sz w:val="19"/>
              </w:rPr>
              <w:t>pose GNN vs random-coord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0.933</w:t>
            </w:r>
          </w:p>
        </w:tc>
        <w:tc>
          <w:tcPr>
            <w:tcW w:type="dxa" w:w="1814"/>
          </w:tcPr>
          <w:p>
            <w:r>
              <w:rPr>
                <w:rFonts w:ascii="Times New Roman" w:hAnsi="Times New Roman"/>
                <w:sz w:val="19"/>
              </w:rPr>
              <w:t>+0.0000</w:t>
            </w:r>
          </w:p>
        </w:tc>
        <w:tc>
          <w:tcPr>
            <w:tcW w:type="dxa" w:w="1814"/>
          </w:tcPr>
          <w:p>
            <w:r>
              <w:rPr>
                <w:rFonts w:ascii="Times New Roman" w:hAnsi="Times New Roman"/>
                <w:sz w:val="19"/>
              </w:rPr>
              <w:t>[-0.1644, +0.1644]</w:t>
            </w:r>
          </w:p>
        </w:tc>
      </w:tr>
      <w:tr>
        <w:tc>
          <w:tcPr>
            <w:tcW w:type="dxa" w:w="1814"/>
          </w:tcPr>
          <w:p>
            <w:r>
              <w:rPr>
                <w:rFonts w:ascii="Times New Roman" w:hAnsi="Times New Roman"/>
                <w:sz w:val="19"/>
              </w:rPr>
              <w:t>fusion vs pose GNN</w:t>
            </w:r>
          </w:p>
        </w:tc>
        <w:tc>
          <w:tcPr>
            <w:tcW w:type="dxa" w:w="1814"/>
          </w:tcPr>
          <w:p>
            <w:r>
              <w:rPr>
                <w:rFonts w:ascii="Times New Roman" w:hAnsi="Times New Roman"/>
                <w:sz w:val="19"/>
              </w:rPr>
              <w:t>1.000</w:t>
            </w:r>
          </w:p>
        </w:tc>
        <w:tc>
          <w:tcPr>
            <w:tcW w:type="dxa" w:w="1814"/>
          </w:tcPr>
          <w:p>
            <w:r>
              <w:rPr>
                <w:rFonts w:ascii="Times New Roman" w:hAnsi="Times New Roman"/>
                <w:sz w:val="19"/>
              </w:rPr>
              <w:t>0.933</w:t>
            </w:r>
          </w:p>
        </w:tc>
        <w:tc>
          <w:tcPr>
            <w:tcW w:type="dxa" w:w="1814"/>
          </w:tcPr>
          <w:p>
            <w:r>
              <w:rPr>
                <w:rFonts w:ascii="Times New Roman" w:hAnsi="Times New Roman"/>
                <w:sz w:val="19"/>
              </w:rPr>
              <w:t>+0.0667</w:t>
            </w:r>
          </w:p>
        </w:tc>
        <w:tc>
          <w:tcPr>
            <w:tcW w:type="dxa" w:w="1814"/>
          </w:tcPr>
          <w:p>
            <w:r>
              <w:rPr>
                <w:rFonts w:ascii="Times New Roman" w:hAnsi="Times New Roman"/>
                <w:sz w:val="19"/>
              </w:rPr>
              <w:t>[-0.0794, +0.2128]</w:t>
            </w:r>
          </w:p>
        </w:tc>
      </w:tr>
      <w:tr>
        <w:tc>
          <w:tcPr>
            <w:tcW w:type="dxa" w:w="1814"/>
          </w:tcPr>
          <w:p>
            <w:r>
              <w:rPr>
                <w:rFonts w:ascii="Times New Roman" w:hAnsi="Times New Roman"/>
                <w:sz w:val="19"/>
              </w:rPr>
              <w:t>pose GNN vs shuffled-coord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0.956</w:t>
            </w:r>
          </w:p>
        </w:tc>
        <w:tc>
          <w:tcPr>
            <w:tcW w:type="dxa" w:w="1814"/>
          </w:tcPr>
          <w:p>
            <w:r>
              <w:rPr>
                <w:rFonts w:ascii="Times New Roman" w:hAnsi="Times New Roman"/>
                <w:sz w:val="19"/>
              </w:rPr>
              <w:t>-0.0222</w:t>
            </w:r>
          </w:p>
        </w:tc>
        <w:tc>
          <w:tcPr>
            <w:tcW w:type="dxa" w:w="1814"/>
          </w:tcPr>
          <w:p>
            <w:r>
              <w:rPr>
                <w:rFonts w:ascii="Times New Roman" w:hAnsi="Times New Roman"/>
                <w:sz w:val="19"/>
              </w:rPr>
              <w:t>[-0.2133, +0.1689]</w:t>
            </w:r>
          </w:p>
        </w:tc>
      </w:tr>
    </w:tbl>
    <w:p>
      <w:r>
        <w:rPr>
          <w:rFonts w:ascii="Times New Roman" w:hAnsi="Times New Roman"/>
          <w:b w:val="0"/>
          <w:i w:val="0"/>
        </w:rPr>
        <w:t>Every interval crosses zero, consistent with the failed gates above: at n = 14 on a single seed-0 split none of the four predeclared contrasts is resolvable. The intervals are wide (half-widths 0.10-0.19 AUROC), so they exclude only large effects in either direction; they are reported so the undecided architecture choice carries an explicit uncertainty statement rather than bare p-values. These are exploratory post-outcome intervals - they do not reopen the preregistered gates, which stand as failed.</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methods question - what does pose geometry add over scalar scores and flat descriptors? - now has a two-stage answer, both kept in this paper: the n = 15 pilot suggested geometry carried the signal; the merged n = 59 scaffold-split benchmark overturned it (the pose graph adds nothing over a 2D bond graph or its own coordinate-shuffled controls). The pilot number is retired as small-n luck, not deleted; the record of both stages is the honest version of the answer.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pilot label set was small (15 labeled compounds); the primary benchmark is now the 59-compound scaffold-grouped set of section 3.3c, and literature labels still carry assay heterogeneity that every AUROC inherits.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 pose-graph rescoring benchmark that recovers ranking to 0.871 +/- 0.050 leave-one-out on the same labels, with the n = 59 bigscreen as the primary learned-rescoring verdict; and MPRO-D1, a novel de novo candidate with a live-verified novelty record and a falsifiable prediction. The raw-docking screen's negative (AUROC 0.339) is kept as the measured baseline that anchors the benchmark. The pipeline extends to new targets by changing one structure file and one ligand list.</w:t>
      </w:r>
    </w:p>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 (of the labeled compounds)</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the project repository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r>
        <w:br w:type="page"/>
      </w:r>
    </w:p>
    <w:p>
      <w:pPr>
        <w:pStyle w:val="Heading1"/>
        <w:pBdr>
          <w:bottom w:val="single" w:sz="12" w:space="4" w:color="1F4E9C"/>
        </w:pBdr>
      </w:pPr>
      <w:r>
        <w:rPr>
          <w:rFonts w:ascii="Times New Roman" w:hAnsi="Times New Roman"/>
          <w:color w:val="1F4E9C"/>
        </w:rPr>
        <w:t>Appendix AE. Protocol transfer audit: a second structure and chemotype (preregistered supporting audit)</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r>
        <w:br w:type="page"/>
      </w:r>
    </w:p>
    <w:p>
      <w:pPr>
        <w:pStyle w:val="Heading1"/>
        <w:pBdr>
          <w:bottom w:val="single" w:sz="12" w:space="4" w:color="1F4E9C"/>
        </w:pBdr>
      </w:pPr>
      <w:r>
        <w:rPr>
          <w:rFonts w:ascii="Times New Roman" w:hAnsi="Times New Roman"/>
          <w:color w:val="1F4E9C"/>
        </w:rPr>
        <w:t>Appendix AF. Rank transfer across receptor structures (preregistered supporting audit)</w:t>
      </w:r>
    </w:p>
    <w:p>
      <w:r>
        <w:rPr>
          <w:rFonts w:ascii="Times New Roman" w:hAnsi="Times New Roman"/>
          <w:b w:val="0"/>
          <w:i w:val="0"/>
        </w:rPr>
        <w:t>A ranking that only holds for one crystal form could be an artifact of a single refinement. Before any campaign compound was docked into the second structure, we preregistered the test (docs/PREREG_TRANSFER_8V8E_RANK_20260928.md): all 52 committed campaign records were to be redocked into 8V8E with the identical protocol, failures counted and never imputed, and rank transfer declared only if the Spearman correlation between 7KX5 and 8V8E best affinities reached 0.50 - one threshold, fixed in advance.</w:t>
      </w:r>
    </w:p>
    <w:p>
      <w:r>
        <w:rPr>
          <w:rFonts w:ascii="Times New Roman" w:hAnsi="Times New Roman"/>
          <w:b w:val="0"/>
          <w:i w:val="0"/>
        </w:rPr>
        <w:t>Outcome, reported as measured: 44 compounds docked in both structures and 8 were counted skips (committed records that carry no 7KX5 affinity; no compound failed or timed out in 8V8E). The Spearman correlation is 0.752 (p = 4.1e-09), above the locked 0.50 gate: the campaign ranking transfers across the two receptor structures and is not an artifact of one crystal form.</w:t>
      </w:r>
    </w:p>
    <w:p>
      <w:r>
        <w:rPr>
          <w:rFonts w:ascii="Times New Roman" w:hAnsi="Times New Roman"/>
          <w:b w:val="0"/>
          <w:i w:val="0"/>
        </w:rPr>
        <w:t>Descriptive observations only, with no gate attached: 5 of the 7KX5 affinity top-10 remain in the 8V8E top-10, and raw Vina on 8V8E ranks the committed ChEMBL labels at AUROC 0.604 against the 7KX5 reference of 0.540 - above the chance line on this structure, still weak, and not a rescoring claim. The scope is stated plainly: both deposits are the SARS-CoV-2 main protease (8V8E is the room-temperature catalytic-domain construct), so this is robustness to a change of receptor structure and crystallization condition. Transfer to a different protease target remains untested.</w:t>
      </w:r>
    </w:p>
    <w:p>
      <w:r>
        <w:br w:type="page"/>
      </w:r>
    </w:p>
    <w:p>
      <w:pPr>
        <w:pStyle w:val="Heading1"/>
        <w:pBdr>
          <w:bottom w:val="single" w:sz="12" w:space="4" w:color="1F4E9C"/>
        </w:pBdr>
      </w:pPr>
      <w:r>
        <w:rPr>
          <w:rFonts w:ascii="Times New Roman" w:hAnsi="Times New Roman"/>
          <w:color w:val="1F4E9C"/>
        </w:rPr>
        <w:t>Appendix AG. Hydration audit: conserved waters and a gated feature test (preregistered supporting audit)</w:t>
      </w:r>
    </w:p>
    <w:p>
      <w:r>
        <w:rPr>
          <w:rFonts w:ascii="Times New Roman" w:hAnsi="Times New Roman"/>
          <w:b w:val="0"/>
          <w:i w:val="0"/>
        </w:rPr>
        <w:t>Rigid-receptor docking discards the solvent, and this pocket is known to use water-mediated contacts. Before computing any hydration outcome we locked the design (docs/PREREG_HYDRATION_20260928.md): a descriptive conserved-water map across the eight public Mpro deposits in data/raw, a single explicit-water redock, and one gated feature test on the committed benchmark - with all radii, conservation cutoffs and the decision rule fixed in advance.</w:t>
      </w:r>
    </w:p>
    <w:p>
      <w:r>
        <w:rPr>
          <w:rFonts w:ascii="Times New Roman" w:hAnsi="Times New Roman"/>
          <w:b w:val="0"/>
          <w:i w:val="0"/>
        </w:rPr>
        <w:t>The map is descriptive. Each structure's chain A was superposed on the 7KX5 binding-site frame (52 CA anchors, alignment RMSD 0.52-0.88 A). Of 77 crystal waters inside the docking box, greedy clustering at 1.5 A gives 49 sites, but only 6 appear in three or more structures (the best in seven of eight). Most crystal waters in this pocket are deposit-specific; conservation is the exception, not the rule (results/hydration_sites.json).</w:t>
      </w:r>
    </w:p>
    <w:p>
      <w:r>
        <w:rPr>
          <w:rFonts w:ascii="Times New Roman" w:hAnsi="Times New Roman"/>
          <w:b w:val="0"/>
          <w:i w:val="0"/>
        </w:rPr>
        <w:t>The explicit-water redock is a single descriptive check. X7V was redocked into 7KX5 with its eight crystal waters retained as rigid receptor atoms under the identical box, seed and exhaustiveness: heavy-atom RMSD 0.92 A versus 0.97 A without waters, best affinity -9.27 versus -9.32 kcal/mol. With n = 1 no statistical claim attaches; keeping the waters did not harm the redock under this protocol.</w:t>
      </w:r>
    </w:p>
    <w:p>
      <w:r>
        <w:rPr>
          <w:rFonts w:ascii="Times New Roman" w:hAnsi="Times New Roman"/>
          <w:b w:val="0"/>
          <w:i w:val="0"/>
        </w:rPr>
        <w:t>The gated test adds two pose features from the conserved map - sites occluded by the pose (any ligand heavy atom within 2.5 A) and sites in bridging geometry (2.5-3.5 A from a ligand N/O, not occluded) - to the leakage-controlled seven-descriptor arm, with the identical trainer, scaffold splits and statistics as the ablation. Outcome, reported as measured: mean AUROC moves 0.9169 -&gt; 0.9331 across the five splits, a small descriptive lift, but the locked seed-0 paired DeLong clause gives p = 0.3938, far from the required 0.05: G-hyd FAILS. The hydration-feature contribution is NOT SUPPORTED on this benchmark. Thresholds were not moved and no alternative radii or conservation cutoffs were tried after outcomes. The honest reading: crystallographic water positions are real pocket information, but with 13-16 held-out pose-available compounds per split this pipeline cannot show they carry label information beyond the chemical descriptors.</w:t>
      </w:r>
    </w:p>
    <w:p>
      <w:pPr>
        <w:pStyle w:val="Heading1"/>
        <w:pBdr>
          <w:bottom w:val="single" w:sz="12" w:space="4" w:color="1F4E9C"/>
        </w:pBdr>
      </w:pPr>
      <w:r>
        <w:rPr>
          <w:rFonts w:ascii="Times New Roman" w:hAnsi="Times New Roman"/>
          <w:color w:val="1F4E9C"/>
        </w:rPr>
        <w:t>Appendix AH. Native covalent docking (12A): corrected analysis and the measurement defect</w:t>
      </w:r>
    </w:p>
    <w:p>
      <w:r>
        <w:rPr>
          <w:rFonts w:ascii="Times New Roman" w:hAnsi="Times New Roman"/>
          <w:b w:val="0"/>
          <w:i w:val="0"/>
        </w:rPr>
        <w:t>After the constraint-guided route was declared machinery-exhausted, the study ran its remaining preregistered route under a new dated preregistration: the official AutoDock-GPU v1.6 covalent (reactive) docking channel, built from the upstream source with DEVICE=CPU and run on the POCL 1.8 CPU OpenCL stack (work-group method cbs; the default method crashed in the evolution loop, including in a non-covalent control). Four integrity gates passed for both complexes before any docking. The 12-job queue (two covalent complexes, 7VH8 and 7C6S; standard C1 and reactive C2 arms; three seeds each) completed with every job rc=0 and no timeouts. The locked criterion was a best-energy-pose, symmetry-corrected RMSD of 2.0 A or less to the crystal pose in at least two of three seeds, per complex.</w:t>
      </w:r>
    </w:p>
    <w:p>
      <w:r>
        <w:rPr>
          <w:rFonts w:ascii="Times New Roman" w:hAnsi="Times New Roman"/>
          <w:b w:val="0"/>
          <w:i w:val="0"/>
        </w:rPr>
        <w:t>Corrected post-hoc reanalysis. A follow-up setup audit found a defect in the RMSD code: docked poses were indexed by PDBQT atom serial but matched to the crystal through the SDF atom index, and the two orders differ (verified by exact coordinate identity, 35 of 35 and 37 of 37 heavy atoms). The integrity gates used the same convention and so could not detect it. With the mapping corrected by coordinate identity, and thresholds, criterion and docking outputs unchanged, the best-energy-pose RMSDs are: 7VH8 C1 1.16 / 1.33 / 1.52 A and 7VH8 C2 1.40 / 1.18 / 1.18 A (every seed passes, both arms); 7C6S C1 2.88 / 1.17 / 1.66 A (two of three seeds pass) and 7C6S C2 2.50 / 4.48 / 2.73 A (none pass). Under the locked criterion the reactive channel therefore reproduces the crystal pose for 7VH8 and not for 7C6S, a mixed outcome. Pooled over all 30 sampled poses, the minimum RMSD is 1.16 and 1.17 A for 7VH8 (C1, C2), 1.17 A for 7C6S C1 and 2.50 A for 7C6S C2. The 7VH8 positive does not depend on the search box; for 7C6S, one crystal ligand atom lies 0.27 A outside the 24 A box, which may bear on its C2 result and was not tested.</w:t>
      </w:r>
    </w:p>
    <w:p>
      <w:r>
        <w:rPr>
          <w:rFonts w:ascii="Times New Roman" w:hAnsi="Times New Roman"/>
          <w:b w:val="0"/>
          <w:i w:val="0"/>
        </w:rPr>
        <w:t>Superseded measurement, kept for the record. Computed with the defective mapping, the same 12 runs gave best-pose RMSDs of 5.52 to 6.56 A and a NOT SUPPORTED verdict. That analysis is retained unedited in the runlog; the corrected numbers are a post-hoc reanalysis of a measurement defect, not a threshold change. The October 2 close-out decision retains both the original verdict and corrected analysis with the defect disclosed; neither is silently substituted for the other. The same defect was checked in the constraint-guided branch: re-scoring all 18 AD4 poses with the corrected mapping leaves every RMSD above 6.9 A, so that branch's machinery-exhausted outcome is unchanged. Provenance, gates and per-seed numbers are in the runlog, results/native_covalent_12a.json and results/native_covalent_12d_remap.json.</w:t>
      </w:r>
    </w:p>
    <w:p>
      <w:r>
        <w:rPr>
          <w:rFonts w:ascii="Times New Roman" w:hAnsi="Times New Roman"/>
          <w:b w:val="0"/>
          <w:i w:val="0"/>
        </w:rPr>
        <w:t>Follow-up audit (12E, preregistered 2026-10-07 before any score was read): the 7C6S crystal-in-grid anomaly from the D5 diagnostic deconfounds into geometry and containment. Scoring the committed D5 crystal-fit pose (Pose A) and an exact-crystal-coordinate pose (Pose B, matched atoms at crystal coordinates, RMSD 0.0) against the original 24 A maps and minimally expanded maps (same receptor, spacing and center; 72 points for 7C6S, 68 for 7VH8, by a pre-locked 1.0 A margin rule) gives epdb intermolecular energies of 18.80 and 18.80 kcal/mol for Pose A (24 A and expanded box) versus 1.61 and -11.27 for Pose B. Under the frozen plausibility rule, only Pose B in the expanded box is plausible (worst pooled docked C1 energy -10.27 kcal/mol): the rigid-fit conformer mismatch dominates (+18.80 to +1.61 in the same box) and the single crystal atom outside the 24 A box contributes the remainder (+1.61 to -11.27). The 7VH8 paired control stayed plausible in all four arms and reproduced its D5 score exactly. The frozen classification is a joint geometry-plus-containment rescue of the D5 anomaly; it motivates a separately preregistered confirmation redock and changes no prior verdict, threshold, or result.</w:t>
      </w:r>
    </w:p>
    <w:p>
      <w:pPr>
        <w:pStyle w:val="Heading1"/>
        <w:pBdr>
          <w:bottom w:val="single" w:sz="12" w:space="4" w:color="1F4E9C"/>
        </w:pBdr>
      </w:pPr>
      <w:r>
        <w:rPr>
          <w:rFonts w:ascii="Times New Roman" w:hAnsi="Times New Roman"/>
          <w:color w:val="1F4E9C"/>
        </w:rPr>
        <w:t>Appendix AI. Closing Statement</w:t>
      </w:r>
    </w:p>
    <w:p>
      <w:r>
        <w:rPr>
          <w:rFonts w:ascii="Times New Roman" w:hAnsi="Times New Roman"/>
          <w:b w:val="0"/>
          <w:i w:val="0"/>
        </w:rPr>
        <w:t>This paper reports a validated protocol, a benchmark recovery, and a novel candidate, with the raw-engine negative kept as the measured baseline that makes the benchmark mean something.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