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val="0"/>
          <w:i w:val="0"/>
          <w:sz w:val="24"/>
        </w:rPr>
        <w:t>Working revision, October 7, 2026. Scientific gates remain open. The current PDF uses Liberation Serif because Times New Roman is unavailable; this is not a Times New Roman format pass. The 57-page count includes data and source appendices, not 57 pages of new research.</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recorded, partly locked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recorded only as the implemented L2 outcome, with the intended L1 arm unverified,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separate synthetic-control protocol was locked before outcomes on October 1. Its unchanged 0.975 stability gate detected all five planted positives (p=0.025 each), and no independent-label null among five controls (p=0.225, 1, 0.475, 0.725, 0.425). Seven deliberate manifest mismatches were rejected. This easy, small synthetic study is not type-I error calibration, clinical validation or benchmark superiority. Equal declared manifests do not prove implementation equivalence. The old unmatched clinical permutation result remains uncertified; no real-cohort fit was repeated.</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recorded 0.537 single-split estimate and later CV estimate describe different analyses. Their difference alone does not identify the cause or establish that CV repairs every source of bias.</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direction that persists across these dependent refits is a descriptive result, not a significance certificate or evidence of transport to another cohort.</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recorded result (0.629 vs 0.632) shows no observed improvement in this arm. Without a paired uncertainty estimate it does not establish equivalence, a general falsification, or the mechanism causing the difference.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Under a complete null with valid marginal tests, testing all 22,283 probes at nominal alpha = 0.05 gives an expected 1,114.15 rejections. This is not the expected false count in a selected top-100 list. Bootstrap sign stability does not replace multiplicity control:</w:t>
      </w:r>
    </w:p>
    <w:p>
      <w:pPr>
        <w:jc w:val="center"/>
      </w:pPr>
      <w:r>
        <w:rPr>
          <w:rFonts w:ascii="Times New Roman" w:hAnsi="Times New Roman"/>
          <w:b w:val="0"/>
          <w:i/>
          <w:sz w:val="24"/>
        </w:rPr>
        <w:t>(9)   E[V] = m alpha = 22283 x 0.05 = 1114.15 (complete null, valid marginal tests)</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inventory: recorded execution, not certified breadth</w:t>
      </w:r>
    </w:p>
    <w:p>
      <w:r>
        <w:rPr>
          <w:rFonts w:ascii="Times New Roman" w:hAnsi="Times New Roman"/>
          <w:b w:val="0"/>
          <w:i w:val="0"/>
          <w:sz w:val="24"/>
        </w:rPr>
        <w:t>The historical external inventory reports 45 ok statuses from 48 attempts. Status ok means that the function returned without an exception, not that its result is finite, its API response identifies the intended source, or its scientific use passes the program gate. The October 7 provenance audit found a non-finite bctpy output, an incorrect CrossRef primary-study match, upstream feature-selection leakage in scikit-optimize, exploratory same-cohort inference, missing raw API responses, and possible annotation fallback. See results/EXTERNAL_TOOL_PROVENANCE_AUDIT.md. The 40-tool scientific-use gate is not certified. Historical outputs remain unchanged.</w:t>
      </w:r>
    </w:p>
    <w:p>
      <w:r>
        <w:rPr>
          <w:rFonts w:ascii="Times New Roman" w:hAnsi="Times New Roman"/>
          <w:b/>
          <w:i w:val="0"/>
          <w:sz w:val="24"/>
        </w:rPr>
        <w:t>Table. Libraries with historical ok statuses, not individually certified results.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external libraries</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Database and API entries with historical ok statuses, not certified scientific uses.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database / API entries</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lists 40 named in-repo functions, not 40 external tools. Census audit, October 1: 286 GSM samples from one GSE2034 cohort and 15 gene accessions are records, not 301 independent datasets. They do not certify the 120-dataset gate. Source inspection found quantile_norm marked done without a call, global variance filtering and global z-score preceding CV, and fold_dispersion receiving a one-element mean list. Classifier figures below are preserved implementation outputs, not certified fully fold-internal estimates. No outcomes were rerun or silently replaced.</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Recorded classifier outputs; global-preprocessing caveat applies.</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For this implementation the classifier band is 0.62-0.67: random forest 0.6739, nearest centroid 0.6716, MLP 0.6676, logistic 0.6489 (canonical lane result 0.632 within dispersion), majority accuracy 0.7587. No deep model escapes the band - cohort size as a causal bottleneck is untested.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still exploratory until tested independently.</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it nevertheless appears in the auxiliary inventories audited on October 1 and 7. Those inventory outputs are not fully fold-internal estimates.</w:t>
      </w:r>
    </w:p>
    <w:p>
      <w:r>
        <w:t>D3. AUC chosen over accuracy after noting 75.9% majority accuracy; accuracy reported only alongside AUC.</w:t>
      </w:r>
    </w:p>
    <w:p>
      <w:r>
        <w:t>D4. Graph arm built on train folds only, because a full-data co-expression graph leaks test correlations into features.</w:t>
      </w:r>
    </w:p>
    <w:p>
      <w:r>
        <w:t>D5. Forty bootstrap refits report empirical sign frequency. Dependence among refits of the same patients prevents interpreting a simple binomial confidence bound as a validated population sign-consistency interval.</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candidate biological lead only; novelty has not been independently established</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some modeling selections were fold-internal; global inventory preprocessing remains a caveat).</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