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Appendix W. Derivation of the Delivery Threshold</w:t>
      </w:r>
    </w:p>
    <w:p>
      <w:r>
        <w:rPr>
          <w:rFonts w:ascii="Times New Roman" w:hAnsi="Times New Roman"/>
          <w:b w:val="0"/>
          <w:i w:val="0"/>
        </w:rPr>
        <w:t>The feasibility cliff of Section 5.6 has a one-line explanation. Delivery requires the propulsion displacement over the window to exceed the diffusive spread: v T &gt;&gt; sqrt(2 D_t T). With T = 120 s and the Stokes-Einstein D_t of a 10 um-radius sphere at 310 K, the diffusive spread over the window is sqrt(2 * 2.4e-14 * 120) = 2.4 um, while the course length is 600 um. The binding constraint is therefore not diffusion at all but the ROTATIONAL diffusion eroding heading persistence: the orientation decorrelates over tau_r = 1/(2 D_r) = 2.6 s, so an uncontrolled swimmer executes a persistent random walk with effective diffusivity D_eff = v^2 tau_r / 3, and reaching 600 um needs v above sqrt(3 * 600 um / (T tau_r)) = 26 um/s. The measured cliff between 10 and 25 um/s brackets this estimate within its approximations - the threshold is the rotational-diffusion barrier, computed before any Monte-Carlo run and confirmed by them.</w:t>
      </w:r>
    </w:p>
    <w:p>
      <w:r>
        <w:rPr>
          <w:rFonts w:ascii="Times New Roman" w:hAnsi="Times New Roman"/>
          <w:b w:val="0"/>
          <w:i w:val="0"/>
        </w:rPr>
        <w:t>This derivation also shows why the cliff is sharp: D_eff scales as v^2, so doubling speed quadruples effective transport. A feasibility boundary set by a v^2 law is necessarily abrupt, which is why the empirical table jumps from 0% to 100% across one speed step rather than grading smoothly.</w:t>
      </w:r>
    </w:p>
    <w:p>
      <w:pPr>
        <w:pStyle w:val="Heading1"/>
        <w:pBdr>
          <w:bottom w:val="single" w:sz="12" w:space="4" w:color="1F4E9C"/>
        </w:pBdr>
      </w:pPr>
      <w:r>
        <w:rPr>
          <w:rFonts w:ascii="Times New Roman" w:hAnsi="Times New Roman"/>
          <w:color w:val="1F4E9C"/>
        </w:rPr>
        <w:t>Appendix X. Extended Annotated Bibliography</w:t>
      </w:r>
    </w:p>
    <w:p>
      <w:r>
        <w:rPr>
          <w:rFonts w:ascii="Times New Roman" w:hAnsi="Times New Roman"/>
          <w:b w:val="0"/>
          <w:i w:val="0"/>
        </w:rPr>
        <w:t>Purcell (1977), Life at low Reynolds number. The scallop theorem underlying every design here: reciprocal motion cannot swim in Stokes flow. Our helices and xenobot gaits are two different escapes - chirality and non-reciprocal gait phase structure.</w:t>
      </w:r>
    </w:p>
    <w:p>
      <w:r>
        <w:rPr>
          <w:rFonts w:ascii="Times New Roman" w:hAnsi="Times New Roman"/>
          <w:b w:val="0"/>
          <w:i w:val="0"/>
        </w:rPr>
        <w:t>Lauga &amp; Powers (2009), The hydrodynamics of swimming microorganisms. The review from which the RFT coefficients and the squirmer comparison are taken; our F1-F6 follow its notation.</w:t>
      </w:r>
    </w:p>
    <w:p>
      <w:r>
        <w:rPr>
          <w:rFonts w:ascii="Times New Roman" w:hAnsi="Times New Roman"/>
          <w:b w:val="0"/>
          <w:i w:val="0"/>
        </w:rPr>
        <w:t>Zhang et al. (2009), Artificial bacterial flagella. First fabrication-quality helical microswimmers; their achieved speeds calibrate our optimizer's target band.</w:t>
      </w:r>
    </w:p>
    <w:p>
      <w:r>
        <w:rPr>
          <w:rFonts w:ascii="Times New Roman" w:hAnsi="Times New Roman"/>
          <w:b w:val="0"/>
          <w:i w:val="0"/>
        </w:rPr>
        <w:t>Nelson, Kaliakatsos &amp; Abbott (2010), Microrobots for minimally invasive medicine. The medical motivation: actuation, imaging, and the clinical path our control harness abstracts.</w:t>
      </w:r>
    </w:p>
    <w:p>
      <w:r>
        <w:rPr>
          <w:rFonts w:ascii="Times New Roman" w:hAnsi="Times New Roman"/>
          <w:b w:val="0"/>
          <w:i w:val="0"/>
        </w:rPr>
        <w:t>Kriegman et al. (2020), A scalable pipeline for designing reconfigurable organisms. The xenobot source paper; our evolution protocol mirrors its GA structure with a physically explicit simulator.</w:t>
      </w:r>
    </w:p>
    <w:p>
      <w:r>
        <w:rPr>
          <w:rFonts w:ascii="Times New Roman" w:hAnsi="Times New Roman"/>
          <w:b w:val="0"/>
          <w:i w:val="0"/>
        </w:rPr>
        <w:t>Kriegman et al. (2021), Kinematic self-replication. Raises the containment issue our ethics appendix addresses.</w:t>
      </w:r>
    </w:p>
    <w:p>
      <w:r>
        <w:rPr>
          <w:rFonts w:ascii="Times New Roman" w:hAnsi="Times New Roman"/>
          <w:b w:val="0"/>
          <w:i w:val="0"/>
        </w:rPr>
        <w:t>Dreyfus et al. (2005), Microscopic artificial swimmers. The magnetic-actuation precedent for the drive model in F4.</w:t>
      </w:r>
    </w:p>
    <w:p>
      <w:r>
        <w:rPr>
          <w:rFonts w:ascii="Times New Roman" w:hAnsi="Times New Roman"/>
          <w:b w:val="0"/>
          <w:i w:val="0"/>
        </w:rPr>
        <w:t>Berg (1993), Random walks in biology. The run-and-tumble statistics behind our heading-persistence analysis and Appendix W.</w:t>
      </w:r>
    </w:p>
    <w:p>
      <w:r>
        <w:rPr>
          <w:rFonts w:ascii="Times New Roman" w:hAnsi="Times New Roman"/>
          <w:b w:val="0"/>
          <w:i w:val="0"/>
        </w:rPr>
        <w:t>Elowitz &amp; Leibler (2000), A synthetic oscillatory network. A control-theoretic inspiration: simple parts, verified aggregate behavior - the design philosophy of this lane.</w:t>
      </w:r>
    </w:p>
    <w:p>
      <w:r>
        <w:rPr>
          <w:rFonts w:ascii="Times New Roman" w:hAnsi="Times New Roman"/>
          <w:b w:val="0"/>
          <w:i w:val="0"/>
        </w:rPr>
        <w:t>Howse et al. (2007), Self-motile colloidal particles. Active-matter context for the noise-floor discussion; their Peclet analysis parallels ours.</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