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Constraint-Guaranteed DNA Data Storage Codec with Block-Bounded Error Propagation, and a Flux-Balance Theory of Energy Reallocation in a Replication-Frozen Cyborg Cell</w:t>
      </w:r>
    </w:p>
    <w:p>
      <w:pPr>
        <w:pStyle w:val="Heading1"/>
      </w:pPr>
      <w:r>
        <w:t>Abstract</w:t>
      </w:r>
    </w:p>
    <w:p>
      <w:r>
        <w:t>This report presents two connected bodies of work. Part I designs, analyzes, and benchmarks a DNA data storage codec whose biological constraints are guaranteed by construction rather than by screening: a never-same rotating base code makes homopolymer runs longer than one impossible, and a SHA-256-counter keystream scrambler holds windowed GC content near 50%. We prove that the code's information rate equals the Shannon capacity of the no-equal-adjacent-symbol channel, log2(3) ~ 1.585 bits per base, and we identify and repair the code family's principal weakness: a single substitution desynchronizes all downstream trits. The repair - blocked never-same encoding with per-block Fletcher checksums and one global parity block - bounds desynchronization to one 32-trit block and turns substitution errors into erasures. In a controlled head-to-head benchmark against faithful implementations of Goldman et al. (2013) and DNA Fountain (Erlich and Zielinski, 2017), the blocked codec achieves the highest message recovery at every nonzero substitution rate tested (1%, 2%, 3%) at both 64-byte and 256-byte message sizes, with 24 independent trials per configuration. Part II builds a flux balance analysis (FBA) model of a replication-frozen 'cyborg cell' and proves the Reallocation Identity: freezing replication at rate g increases the maximal complex-input processing flux by exactly g(a_bio + b_bio*e_P + c_bio*e_H)/k_sen, where e_P and e_H are the ATP yields of pyruvate and NADH. The identity is verified numerically to zero error at five replication rates; 100% of the freed ATP-equivalents are reallocated to sensor processing when the complex input is unbounded, and a bounded-input counterexample shows the reallocated fraction provably falls below 100%. All results are reproducible from a hermetic pytest suite (20 tests).</w:t>
      </w:r>
    </w:p>
    <w:p>
      <w:pPr>
        <w:pStyle w:val="Heading1"/>
      </w:pPr>
      <w:r>
        <w:t>1. Introduction</w:t>
      </w:r>
    </w:p>
    <w:p>
      <w:r>
        <w:t>DNA is an extraordinarily dense and durable information medium. Theoretical density exceeds 10^19 bytes per cubic millimeter, and intact DNA has been recovered from samples thousands of years old. Since the pioneering synthesis experiments of Church et al. (2012) and Goldman et al. (2013), a central engineering problem has been the design of encoding schemes - codecs - that map arbitrary digital data onto DNA sequences that biology can actually manufacture and read. Two constraints dominate: homopolymer runs (long stretches of one base) cause synthesis and sequencing failures, and extreme GC content distorts both synthesis yield and PCR amplification.</w:t>
      </w:r>
    </w:p>
    <w:p>
      <w:r>
        <w:t>Existing codecs handle these constraints in one of two ways. Screening approaches, exemplified by DNA Fountain (Erlich and Zielinski, 2017), generate candidate strands and reject those that violate the constraints; this wastes a fraction of candidates and, more importantly, provides no correction power inside the strand - a single substitution in a screened strand silently corrupts its payload. Rotating-code approaches, exemplified by Goldman et al. (2013), guarantee the homopolymer constraint by construction but, as we show, suffer catastrophic error propagation: one substitution desynchronizes every symbol that follows it in the strand.</w:t>
      </w:r>
    </w:p>
    <w:p>
      <w:r>
        <w:t>Part I of this work develops a third position. We keep the constructive constraint guarantee of rotating codes but restructure the strand into independently seeded blocks, so that desynchronization is bounded to a single 32-trit block; per-block checksums then convert substitution errors into erasures at known positions, and a single global parity block corrects any one erased block. The result is a codec that, under identical replication redundancy, recovers messages at substitution rates where both published baselines fail.</w:t>
      </w:r>
    </w:p>
    <w:p>
      <w:r>
        <w:t>Part II turns from storing information in DNA to reprogramming what a cell does with its energy. The 'cyborg cell' concept asks: if cellular replication - the largest single drain on a bacterium's energy budget - is halted, where does the freed energy go, and can it be directed toward useful work such as processing complex chemical inputs for biosensing? We answer with a flux balance analysis (FBA) model and a theorem. Rather than asserting the folklore claim that '100% of replication energy becomes available', we prove the exact reallocation identity for our model, exhibit the conditions under which 100% reallocation holds, and construct an explicit counterexample in which it fails.</w:t>
      </w:r>
    </w:p>
    <w:p>
      <w:pPr>
        <w:pStyle w:val="Heading1"/>
      </w:pPr>
      <w:r>
        <w:t>2. Related Work</w:t>
      </w:r>
    </w:p>
    <w:p>
      <w:r>
        <w:t>DNA data storage. Church et al. (2012) encoded a 5.27-megabit book using a naive one-bit-per-base scheme with no biological constraint handling. Goldman et al. (2013) introduced the rotating base-4 code with four-fold segmented redundancy, recovering 739 kilobytes with full integrity; their encoding is the direct ancestor of our never-same construction. Grass et al. (2015) added Reed-Solomon error correction and encapsulated DNA in silica, demonstrating millennial-scale stability. Erlich and Zielinski (2017) introduced DNA Fountain, applying Luby transform fountain codes to achieve near-capacity density (1.57-1.98 bits per base) with constraint screening; their design carries no inner error correction by choice, relying on sequencing depth. Our benchmark isolates precisely that design decision. Organ et al. and others have reviewed the field's constraint taxonomy; the homopolymer and GC constraints we enforce are standard.</w:t>
      </w:r>
    </w:p>
    <w:p>
      <w:r>
        <w:t>Metabolic modeling. Flux balance analysis, formalized by Varma and Palsson and operationalized in the COBRA toolbox, predicts steady-state flux distributions by linear programming over a stoichiometric matrix. The core E. coli model of Orth, Fleming and Palsson (2010) established the lumped reaction conventions we follow. The idea of growth-production tradeoffs is classical in microbial physiology (overflow metabolism, proteome allocation); our contribution is an exact identity for the tradeoff's magnitude in a frozen-replication regime, rather than a phenomenological fit.</w:t>
      </w:r>
    </w:p>
    <w:p>
      <w:r>
        <w:br w:type="page"/>
      </w:r>
    </w:p>
    <w:p>
      <w:pPr>
        <w:pStyle w:val="Heading1"/>
      </w:pPr>
      <w:r>
        <w:t>Part I. The Blocked Never-Same DNA Codec</w:t>
      </w:r>
    </w:p>
    <w:p>
      <w:pPr>
        <w:pStyle w:val="Heading2"/>
      </w:pPr>
      <w:r>
        <w:t>3. Channel model and constraints</w:t>
      </w:r>
    </w:p>
    <w:p>
      <w:r>
        <w:t>We model DNA synthesis and sequencing as a substitution channel over the alphabet {A, C, G, T} with per-base substitution probability p; insertions and deletions are out of scope (Section 12). A strand s = s_1...s_n is biologically admissible if (i) its longest homopolymer run is at most h_max and (ii) the GC fraction of every window of length w lies in [0.5 - d, 0.5 + d]. Our codec guarantees h_max &lt;= 2 by construction and achieves d ~ 0.16 empirically at w = 50.</w:t>
      </w:r>
    </w:p>
    <w:p>
      <w:pPr>
        <w:pStyle w:val="Heading2"/>
      </w:pPr>
      <w:r>
        <w:t>4. Capacity of the never-same channel</w:t>
      </w:r>
    </w:p>
    <w:p>
      <w:r>
        <w:t>The never-same constraint forbids s_{i+1} = s_i. The number of admissible length-n strands is counted by the adjacency matrix A of the constraint graph, a 4x4 matrix with zeros on the diagonal and ones elsewhere. The Shannon capacity of a constrained channel is log2 of the Perron root of A.</w:t>
      </w:r>
    </w:p>
    <w:p>
      <w:pPr>
        <w:jc w:val="center"/>
      </w:pPr>
      <w:r>
        <w:rPr>
          <w:i/>
        </w:rPr>
        <w:t>C = log2(lambda_max(A)),   A = J - I,   lambda_max(J - I) = 4 - 1 = 3</w:t>
      </w:r>
      <w:r>
        <w:t xml:space="preserve">        (1)</w:t>
      </w:r>
    </w:p>
    <w:p>
      <w:r>
        <w:t>The eigenvalues of J - I are 3 (once, eigenvector the all-ones vector) and -1 (with multiplicity three), so the Perron root is 3 and:</w:t>
      </w:r>
    </w:p>
    <w:p>
      <w:pPr>
        <w:jc w:val="center"/>
      </w:pPr>
      <w:r>
        <w:rPr>
          <w:i/>
        </w:rPr>
        <w:t>C = log2(3) = 1.5850 bits per base</w:t>
      </w:r>
      <w:r>
        <w:t xml:space="preserve">        (2)</w:t>
      </w:r>
    </w:p>
    <w:p>
      <w:r>
        <w:t>Our encoding attains this bound exactly: it maps one trit t in {0,1,2} per base by the rule s_{i+1} = phi(s_i, t) = base((idx(s_i) + 1 + t) mod 4), which is a bijection between the three trits and the three permitted successor bases. The rate is therefore log2(3) bits/base with zero constraint violation - the code is capacity-achieving for this channel.</w:t>
      </w:r>
    </w:p>
    <w:p>
      <w:pPr>
        <w:pStyle w:val="Heading2"/>
      </w:pPr>
      <w:r>
        <w:t>5. The desynchronization problem</w:t>
      </w:r>
    </w:p>
    <w:p>
      <w:r>
        <w:t>Rotating codes are differential: the trit is recovered from the pair (s_i, s_{i+1}) as t = (idx(s_{i+1}) - idx(s_i) - 1) mod 4. A substitution at position j replaces s_j with s'_j; both adjacent recovered trits change, and because the decoder's running state is s'_j rather than s_j, every subsequent trit is decoded against a wrong reference. One substitution therefore corrupts the strand suffix. We quantify this: the expected position of the first error in a strand of length n at rate p is 1/p, so the expected fraction of corrupted trits approaches</w:t>
      </w:r>
    </w:p>
    <w:p>
      <w:pPr>
        <w:jc w:val="center"/>
      </w:pPr>
      <w:r>
        <w:rPr>
          <w:i/>
        </w:rPr>
        <w:t>E[f_corrupt] = 1 - 1/(n p)   for n p &gt;&gt; 1</w:t>
      </w:r>
      <w:r>
        <w:t xml:space="preserve">        (3)</w:t>
      </w:r>
    </w:p>
    <w:p>
      <w:r>
        <w:t>which tends to 1 as the strand lengthens. This matches the measured collapse of the unblocked codec (Section 9): recovery at 2% substitution falls to 0.25 at 64 bytes and 0.125 at 256 bytes without blocking.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