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4"/>
        </w:rPr>
        <w:t>A Constraint-Guaranteed DNA Data Storage Codec with Block-Bounded Error Propagation, and a Flux-Balance Theory of Energy Reallocation in a Replication-Frozen Cyborg Cell</w:t>
      </w:r>
    </w:p>
    <w:p>
      <w:pPr>
        <w:jc w:val="center"/>
      </w:pPr>
      <w:r>
        <w:rPr>
          <w:rFonts w:ascii="Times New Roman" w:hAnsi="Times New Roman"/>
          <w:b w:val="0"/>
          <w:i/>
          <w:sz w:val="24"/>
        </w:rPr>
        <w:t>MEGA-PROGRAM-27, Item 23b - computational biology research lane</w:t>
      </w:r>
    </w:p>
    <w:p/>
    <w:p>
      <w:pPr>
        <w:pStyle w:val="Heading1"/>
      </w:pPr>
      <w:r>
        <w:rPr>
          <w:rFonts w:ascii="Times New Roman" w:hAnsi="Times New Roman"/>
          <w:b/>
          <w:i w:val="0"/>
          <w:sz w:val="30"/>
        </w:rPr>
        <w:t>Abstract</w:t>
      </w:r>
    </w:p>
    <w:p>
      <w:r>
        <w:rPr>
          <w:rFonts w:ascii="Times New Roman" w:hAnsi="Times New Roman"/>
          <w:b w:val="0"/>
          <w:i w:val="0"/>
          <w:sz w:val="24"/>
        </w:rP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Part II builds a flux balance analysis (FBA) model of a replication-frozen 'cyborg cell'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w:t>
      </w:r>
    </w:p>
    <w:p>
      <w:pPr>
        <w:pStyle w:val="Heading1"/>
      </w:pPr>
      <w:r>
        <w:rPr>
          <w:rFonts w:ascii="Times New Roman" w:hAnsi="Times New Roman"/>
          <w:b/>
          <w:i w:val="0"/>
          <w:sz w:val="30"/>
        </w:rPr>
        <w:t>Lay summary</w:t>
      </w:r>
    </w:p>
    <w:p>
      <w:r>
        <w:rPr>
          <w:rFonts w:ascii="Times New Roman" w:hAnsi="Times New Roman"/>
          <w:b w:val="0"/>
          <w:i w:val="0"/>
          <w:sz w:val="24"/>
        </w:rP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'cyborg cell'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r>
        <w:br w:type="page"/>
      </w:r>
    </w:p>
    <w:p>
      <w:pPr>
        <w:pStyle w:val="Heading1"/>
      </w:pPr>
      <w:r>
        <w:rPr>
          <w:rFonts w:ascii="Times New Roman" w:hAnsi="Times New Roman"/>
          <w:b/>
          <w:i w:val="0"/>
          <w:sz w:val="30"/>
        </w:rPr>
        <w:t>Part II. Energy Reallocation in the Replication-Frozen Cyborg Cell</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rPr>
          <w:rFonts w:ascii="Times New Roman" w:hAnsi="Times New Roman"/>
          <w:b w:val="0"/>
          <w:i w:val="0"/>
          <w:sz w:val="24"/>
        </w:rPr>
        <w:t>rsns (ours, RS-GF(3^5)): density 0.711 bits/base, worst homopolymer 1, worst-window GC deviation 0.140. Recovery was perfect at zero noise; at 1% substitution 23/24 messages were recovered, at 2% 21/24, and at 3% 10/24. Without inner correction, a single substitution disables each affected droplet and the peeling decoder stalls.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rPr>
          <w:rFonts w:ascii="Times New Roman" w:hAnsi="Times New Roman"/>
          <w:b w:val="0"/>
          <w:i w:val="0"/>
          <w:sz w:val="24"/>
        </w:rPr>
        <w:t>rsns (ours, RS-GF(3^5)): density 0.813 bits/base, worst homopolymer 1, worst-window GC deviation 0.160. Recovery was perfect at zero noise; at 1% substitution 24/24 messages were recovered, at 2% 14/24, and at 3% 2/24. Without inner correction, a single substitution disables each affected droplet and the peeling decoder stalls.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cyborg-cell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cyborg-loop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also runs 40 named, in-repo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