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rPr>
          <w:rFonts w:ascii="Times New Roman" w:hAnsi="Times New Roman"/>
          <w:b w:val="0"/>
          <w:i w:val="0"/>
          <w:sz w:val="24"/>
        </w:rPr>
        <w:t>How does synthetic storage DNA compare to what evolution writes? We computed GC content, maximum homopolymer run, base entropy and 3-mer spectra for 131 of our encoded 256-byte payloads against 131 real E. coli K-12 whole-genome shotgun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