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shared-copy unit does not test partial correlation; the following section adds a synthetic mixture. Indels, dropout, strand segmentation and physical data remain untested.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p>
      <w:pPr>
        <w:pStyle w:val="Heading1"/>
        <w:pageBreakBefore/>
      </w:pPr>
      <w:r>
        <w:t>Partial shared-copy mixtures retain the channel sensitivity</w:t>
      </w:r>
    </w:p>
    <w:p>
      <w:r>
        <w:t>A frozen follow-up at base cf02be1 keeps the same four source identities, eight included geometries, three-copy budgets and decoder. At each position a separate uniform gate selects either the first independently corrupted copy letter for all three copies, with probability q, or each independent copy letter otherwise. The gate is reused across q values zero, one quarter, one half, three quarters and one. The first copy therefore stays unchanged. Both endpoints reproduce the previously saved independent and perfectly shared outcomes and hashes.</w:t>
      </w:r>
    </w:p>
    <w:p>
      <w:r>
        <w:t>Each copy retains the same marginal strict-substitution probability p in distribution under this mixture. The parameter q is the shared-generator probability, not a measured Pearson correlation and not a fitted physical error parameter. Independent corruption seeds are reused, and the gate seed is recorded. This isolates a specified synthetic dependence change without changing emitted cost or selecting new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Shared q</w:t>
            </w:r>
          </w:p>
        </w:tc>
        <w:tc>
          <w:tcPr>
            <w:tcW w:type="dxa" w:w="2160"/>
          </w:tcPr>
          <w:p>
            <w:r>
              <w:t>Exact / 72</w:t>
            </w:r>
          </w:p>
        </w:tc>
        <w:tc>
          <w:tcPr>
            <w:tcW w:type="dxa" w:w="2160"/>
          </w:tcPr>
          <w:p>
            <w:r>
              <w:t>Loud / 72</w:t>
            </w:r>
          </w:p>
        </w:tc>
        <w:tc>
          <w:tcPr>
            <w:tcW w:type="dxa" w:w="2160"/>
          </w:tcPr>
          <w:p>
            <w:r>
              <w:t>Silent wrong / 72</w:t>
            </w:r>
          </w:p>
        </w:tc>
      </w:tr>
      <w:tr>
        <w:tc>
          <w:tcPr>
            <w:tcW w:type="dxa" w:w="2160"/>
          </w:tcPr>
          <w:p>
            <w:r>
              <w:t>0</w:t>
            </w:r>
          </w:p>
        </w:tc>
        <w:tc>
          <w:tcPr>
            <w:tcW w:type="dxa" w:w="2160"/>
          </w:tcPr>
          <w:p>
            <w:r>
              <w:t>49</w:t>
            </w:r>
          </w:p>
        </w:tc>
        <w:tc>
          <w:tcPr>
            <w:tcW w:type="dxa" w:w="2160"/>
          </w:tcPr>
          <w:p>
            <w:r>
              <w:t>23</w:t>
            </w:r>
          </w:p>
        </w:tc>
        <w:tc>
          <w:tcPr>
            <w:tcW w:type="dxa" w:w="2160"/>
          </w:tcPr>
          <w:p>
            <w:r>
              <w:t>0</w:t>
            </w:r>
          </w:p>
        </w:tc>
      </w:tr>
      <w:tr>
        <w:tc>
          <w:tcPr>
            <w:tcW w:type="dxa" w:w="2160"/>
          </w:tcPr>
          <w:p>
            <w:r>
              <w:t>0.25</w:t>
            </w:r>
          </w:p>
        </w:tc>
        <w:tc>
          <w:tcPr>
            <w:tcW w:type="dxa" w:w="2160"/>
          </w:tcPr>
          <w:p>
            <w:r>
              <w:t>8</w:t>
            </w:r>
          </w:p>
        </w:tc>
        <w:tc>
          <w:tcPr>
            <w:tcW w:type="dxa" w:w="2160"/>
          </w:tcPr>
          <w:p>
            <w:r>
              <w:t>64</w:t>
            </w:r>
          </w:p>
        </w:tc>
        <w:tc>
          <w:tcPr>
            <w:tcW w:type="dxa" w:w="2160"/>
          </w:tcPr>
          <w:p>
            <w:r>
              <w:t>0</w:t>
            </w:r>
          </w:p>
        </w:tc>
      </w:tr>
      <w:tr>
        <w:tc>
          <w:tcPr>
            <w:tcW w:type="dxa" w:w="2160"/>
          </w:tcPr>
          <w:p>
            <w:r>
              <w:t>0.5</w:t>
            </w:r>
          </w:p>
        </w:tc>
        <w:tc>
          <w:tcPr>
            <w:tcW w:type="dxa" w:w="2160"/>
          </w:tcPr>
          <w:p>
            <w:r>
              <w:t>1</w:t>
            </w:r>
          </w:p>
        </w:tc>
        <w:tc>
          <w:tcPr>
            <w:tcW w:type="dxa" w:w="2160"/>
          </w:tcPr>
          <w:p>
            <w:r>
              <w:t>71</w:t>
            </w:r>
          </w:p>
        </w:tc>
        <w:tc>
          <w:tcPr>
            <w:tcW w:type="dxa" w:w="2160"/>
          </w:tcPr>
          <w:p>
            <w:r>
              <w:t>0</w:t>
            </w:r>
          </w:p>
        </w:tc>
      </w:tr>
      <w:tr>
        <w:tc>
          <w:tcPr>
            <w:tcW w:type="dxa" w:w="2160"/>
          </w:tcPr>
          <w:p>
            <w:r>
              <w:t>0.75</w:t>
            </w:r>
          </w:p>
        </w:tc>
        <w:tc>
          <w:tcPr>
            <w:tcW w:type="dxa" w:w="2160"/>
          </w:tcPr>
          <w:p>
            <w:r>
              <w:t>0</w:t>
            </w:r>
          </w:p>
        </w:tc>
        <w:tc>
          <w:tcPr>
            <w:tcW w:type="dxa" w:w="2160"/>
          </w:tcPr>
          <w:p>
            <w:r>
              <w:t>72</w:t>
            </w:r>
          </w:p>
        </w:tc>
        <w:tc>
          <w:tcPr>
            <w:tcW w:type="dxa" w:w="2160"/>
          </w:tcPr>
          <w:p>
            <w:r>
              <w:t>0</w:t>
            </w:r>
          </w:p>
        </w:tc>
      </w:tr>
      <w:tr>
        <w:tc>
          <w:tcPr>
            <w:tcW w:type="dxa" w:w="2160"/>
          </w:tcPr>
          <w:p>
            <w:r>
              <w:t>1</w:t>
            </w:r>
          </w:p>
        </w:tc>
        <w:tc>
          <w:tcPr>
            <w:tcW w:type="dxa" w:w="2160"/>
          </w:tcPr>
          <w:p>
            <w:r>
              <w:t>0</w:t>
            </w:r>
          </w:p>
        </w:tc>
        <w:tc>
          <w:tcPr>
            <w:tcW w:type="dxa" w:w="2160"/>
          </w:tcPr>
          <w:p>
            <w:r>
              <w:t>72</w:t>
            </w:r>
          </w:p>
        </w:tc>
        <w:tc>
          <w:tcPr>
            <w:tcW w:type="dxa" w:w="2160"/>
          </w:tcPr>
          <w:p>
            <w:r>
              <w:t>0</w:t>
            </w:r>
          </w:p>
        </w:tc>
      </w:tr>
    </w:tbl>
    <w:p>
      <w:r>
        <w:t>All 360 outcomes are retained. At q equal to one quarter, only eight of seventy-two recover exactly, compared with forty-nine under independent copies. At one half only one recovers; at three quarters and one all fail loudly. No silent wrong is observed, which is not a guarantee. Counts pool two file sizes, two stripe allocations and three nonzero rates; allocation-, size- and rate-specific counts remain in the full ledger. The pooled decline is a finite outcome, not a theorem of monotone recovery for every noise realization.</w:t>
      </w:r>
    </w:p>
    <w:p>
      <w:r>
        <w:t>The mixture is a synthetic stress test with four reused sources and repeated noise realizations, not independent replication or evidence of a calibrated molecular error distribution. Indels, dropout, primer/index costs and physical copy behavior remain untested. Complete source/clean/noisy hashes, gate and noise seeds, exact copy mutation charges, failures and subgroup summaries are in results/bound_nonce_mixture_audit.json. The frozen plan and runner are experiments/bound_nonce_mixture_plan.json and experiments/bound_nonce_mixture_audit.py. Regression tests reproduce all endpoints and partial outcomes and check invariant first-copy hashes and nested gate selections. Production is unchanged and the manuscript content-page gate remains uncertified.</w:t>
      </w:r>
    </w:p>
    <w:p>
      <w:r>
        <w:br w:type="page"/>
      </w:r>
    </w:p>
    <w:p>
      <w:pPr>
        <w:pStyle w:val="Heading1"/>
      </w:pPr>
      <w:r>
        <w:t>Original DNA-Fountain sequencing source qualification</w:t>
      </w:r>
    </w:p>
    <w:p>
      <w:r>
        <w:t>A frozen ingest-only unit inspects original sequencing metadata and pinned receiver mechanics before any physical decoding. ENA projects PRJEB19305 and PRJEB19307 list 16 paired MiSeq runs: one master pool, one deep-copy library and two runs at each of seven dilution labels. Their compressed FASTQ files total 95,237,393,879 bytes. The ENA read_count field totals 479,469,649; this metadata sum is not a count of unique synthesized molecules, accepted droplets or decoded messages. No FASTQ was downloaded or decoded in this unit.</w:t>
      </w:r>
    </w:p>
    <w:p>
      <w:r>
        <w:t>Original source is pinned at TeamErlich/dna-fountain commit 8ee2777aa5e9e101e5d756f7e2449f6672b66f1f. Its README uses PEAR stitching, a 152nt fragment-length filter, abundance-descending sorting and removal of sequences containing N. The receiver requires Python2/Cython and unpinned library versions. Its max_hamming comparison operates on byte arrays after Reed-Solomon re-encoding, not directly on nucleotide Hamming distance. These mechanics are not the local bound-nonce decoder or the simplified Fountain reimplementation used in earlier synthetic comparisons.</w:t>
      </w:r>
    </w:p>
    <w:p>
      <w:r>
        <w:t>The original payload hostname fails DNS in this check. A Python3 fork at jdbrody/dna-fountain commit f97c1b8a81f5c5b819209d5b5e26c9c8f4439495 contains a 2,145,290-byte input-file container, but its MD5 differs from the expected encoded-payload MD5 printed in the original recipe. The container contains source files, including a nested archive labelled as a zipbomb example; only its member list was inspected, without extraction or execution. Treating this container as the encoded source bytes would be a provenance error. The original README also specifies 2,116,608 bytes of padding while its decoder parameters imply 67,088 times 32 = 2,146,816 bytes. The 30,208-byte discrepancy remains unresolved, not silently corrected.</w:t>
      </w:r>
    </w:p>
    <w:p>
      <w:r>
        <w:t>Qualification is conditional for read preprocessing and blocked for checksum-certified payload reconstruction until the exact payload and padding/chunk convention are recovered. A physical preprocessing unit could count stitched, length-selected and RS-admissible reads under a separate frozen budget, but cannot call that payload recovery. Neither metadata availability nor an original-author reconstruction would validate this project's modified local codec. Full per-run file sizes and MD5 values, source pins and receiver caveats are retained in results/dna_fountain_source_audit.json. The content-page gate remains uncertified.</w:t>
      </w:r>
    </w:p>
    <w:p>
      <w:r>
        <w:t>Sources: https://github.com/TeamErlich/dna-fountain ; https://github.com/jdbrody/dna-fountain ; ENA projects PRJEB19305 and PRJEB19307, exact portal API URLs retained with the snapshot.</w:t>
      </w:r>
    </w:p>
    <w:p>
      <w:pPr>
        <w:pStyle w:val="Heading1"/>
      </w:pPr>
      <w:r>
        <w:t>Archive recovery and bounded physical-read preprocessing</w:t>
      </w:r>
    </w:p>
    <w:p>
      <w:r>
        <w:t>Original encoded archive recovery remains blocked. The README inside the mirrored input container explicitly says that the Amazon gift card was removed and can be revealed by decoding. Thus the container is knowingly incomplete relative to the original encoded payload. Original git history, the release page and the Zenodo article deposit supply no encoded archive. Primary bioRxiv text specifies 2,146,816 bytes and 67,088 chunks, supporting the decoder geometry while leaving the conflicting README truncate command unresolved. No tested container truncation or padding convention matches the expected MD5. No nested archive was extracted or executed.</w:t>
      </w:r>
    </w:p>
    <w:p>
      <w:r>
        <w:t>A separately frozen fallback inspected physical sequencing reads without payload decoding. Exactly 8 MiB of compressed bytes from each ERR1816980 master-pool mate were downloaded via verified HTTP 206 ranges. The incomplete gzip prefixes contain 92,414 and 86,355 complete FASTQ records; terminal partial records were excluded. Prefix SHA256 hashes are retained separately from the full-file ENA MD5 values. The first 10,000 synchronized pairs, each with 151nt mates, were inspected. This deterministic prefix is not a random sample or a whole-library error-rate estimate.</w:t>
      </w:r>
    </w:p>
    <w:p>
      <w:r>
        <w:t>Strict exact-overlap stitching with a minimum of 20nt yields 6,368 stitched pairs and 3,632 no-match pairs. It deliberately differs from PEAR quality-aware stitching and may reject pairs that PEAR accepts. Of the stitched sequences, 5,278 have length 152nt. Ten contain non-ACGT symbols; 395 fail exact RS2 codeword checking; 4,873 pass. These records have 4,677 distinct seeds and 4,677 distinct sequence hashes. The test uses A=0, C=1, G=2, T=3 with four bases per byte and reedsolo 1.7.0 decode/re-encode equality. It does not reproduce the original unpinned software environment.</w:t>
      </w:r>
    </w:p>
    <w:p>
      <w:r>
        <w:t>No GC or homopolymer screen, soliton mapping, fountain peeling or whole-payload decoding was performed. RS admissibility alone does not establish original source identity, full receiver acceptance, reconstruction or physical validation of the modified local codec. Code, range headers and digests, counts and selected-record hashes are retained in experiments/dna_fountain_bounded_read_audit.py and results/dna_fountain_bounded_read_audit.json. Full compressed sequencing data are not redistributed. The content-page gate remains uncertified.</w:t>
      </w:r>
    </w:p>
    <w:p>
      <w:r>
        <w:t>Sources: https://www.biorxiv.org/content/10.1101/074237v4.full-text ; https://github.com/TeamErlich/dna-fountain/releases ; https://zenodo.org/records/889697 . Exact source file URLs are in the result prefix ledger.</w:t>
      </w:r>
    </w:p>
    <w:p>
      <w:pPr>
        <w:pStyle w:val="Heading1"/>
      </w:pPr>
      <w:r>
        <w:t>Physical-prefix receiver screening uses a shorter sequence than encoder screening</w:t>
      </w:r>
    </w:p>
    <w:p>
      <w:r>
        <w:t>A separately frozen source-semantics unit reuses the same 16 MiB physical-read prefixes and 4,873 RS-exact records. It pins original glass.pyx, droplet.pyx and utils.pyx, rather than treating the encoder constraints as receiver acceptance. In glass.add_dna the seed is registered before screening; the reconstructed Droplet is made without its RS argument. Its screen therefore sees the four-byte header and 32-byte payload, or 144nt, not the full 152nt RS-protected encoded oligo. This predicate comparison does not execute the original receiver, soliton mapping or peeling.</w:t>
      </w:r>
    </w:p>
    <w:p>
      <w:r>
        <w:t>All 4,873 RS-exact physical records pass the full 152nt GC and homopolymer predicate. On the receiver-style 144nt substring, 4,789 pass and 84 fail GC; none fails the homopolymer predicate. Removing the RS suffix changes the GC denominator and can move a screened full oligo outside the receiver threshold. The two predicate geometries therefore disagree on 84 records. This is a documented implementation distinction, not evidence that it caused an original-author reconstruction failure.</w:t>
      </w:r>
    </w:p>
    <w:p>
      <w:r>
        <w:t>Under the inspected FASTQ-prefix order, 196 records are duplicate seeds. Registering each seed before the predicate leaves 4,595 first-seen seeds that pass the 144nt screen and 82 that fail it. No seed has conflicting payload hashes in this prefix. Those counts are conditional on prefix order, not the original abundance-descending preprocessing order. They are not complete receiver acceptance, original source identity or whole-payload recovery.</w:t>
      </w:r>
    </w:p>
    <w:p>
      <w:r>
        <w:t>Every predicate result and seed-order flag is retained in results/dna_fountain_receiver_screen_audit.json, with pinned source-file hashes and the frozen plan. Prefixes replay the earlier ledger exactly. No new sequencing download, fountain decode or local-codec physical validation was performed. The content-page gate remains uncertified.</w:t>
      </w:r>
    </w:p>
    <w:p>
      <w:r>
        <w:t>Source: https://github.com/TeamErlich/dna-fountain at pinned commit 8ee2777aa5e9e101e5d756f7e2449f6672b66f1f. The original receiver has unpinned Python2/Cython dependencies; this unit reproduces the inspected predicate and ordering semantics in Python3, not that entire environment.</w:t>
      </w:r>
    </w:p>
    <w:p>
      <w:pPr>
        <w:pStyle w:val="Heading1"/>
      </w:pPr>
      <w:r>
        <w:t>Mapping-free rank ceiling for the bounded physical prefix</w:t>
      </w:r>
    </w:p>
    <w:p>
      <w:r>
        <w:t>The documented original receiver uses 67,088 source chunks of 32 bytes each. Conditional on that chunk geometry and the XOR droplet model, each unique seed can supply at most one independent coefficient equation over GF(2), applied to every bit position of the chunk. The number of different equations therefore gives a rank ceiling even before verifying the seed-to-source-index PRNG mapping. This is not an actual rank calculation, peeling attempt or payload decode.</w:t>
      </w:r>
    </w:p>
    <w:p>
      <w:r>
        <w:t>The first-seen 144-nt predicate scenario retains 4,595 unique seeds, so coefficient rank is at most 4,595, or 6.8492% of 67,088, and nullity is at least 62,493. Full unconstrained chunk recovery would require at least 62,493 additional independent equations. Counting every unique RS-exact seed before the predicate gives 4,677 equations, rank at most 6.9714%, and nullity at least 62,411. Reordering duplicates to admit any predicate-passing record leaves the same 4,595 unique passing seeds in this conflict-free prefix.</w:t>
      </w:r>
    </w:p>
    <w:p>
      <w:r>
        <w:t>Each unresolved coefficient-space dimension applies independently to 256 chunk bits: at least 15,998,208 payload bits remain unconstrained in the screened scenario, before any assumed side information. These are linear-system dimension bounds, not evidence that particular source bytes have been lost. Without verified seed mapping, coordinate coverage is unknown. A small number of dense equations can touch all chunks while remaining far from full rank; equation count does not identify the number of covered chunks.</w:t>
      </w:r>
    </w:p>
    <w:p>
      <w:r>
        <w:t>This necessary-data bound is conditional on the documented K and unconstrained source bits. It does not prove the absence of recoverable individual chunks, incorporate possible known payload structure, or establish rank equality. The prefix is not a random read sample, RS exactness does not prove original payload identity, and the original Python2 random.sample mapping is not verified by a Python3 port. No decoding success or failure rate is inferred. The frozen plan and exact counts/hashes are in research/dna_fountain_rank_bound_plan.json and results/dna_fountain_rank_bound_audit.json. Source: https://github.com/TeamErlich/dna-fountain.</w:t>
      </w:r>
    </w:p>
    <w:p>
      <w:pPr>
        <w:pStyle w:val="Heading1"/>
      </w:pPr>
      <w:r>
        <w:t>CPython 2.7 sample semantics: a bounded compatibility oracle</w:t>
      </w:r>
    </w:p>
    <w:p>
      <w:r>
        <w:t>We built actual CPython 2.7.18 from its official source archive, SHA256 da3080e3b488f648a3d7a4560ddee895284c3380b11d6de75edb986526b9a814, and generated vectors for all 4,677 unique RS-exact prefix seeds. Each vector records the first uniform draw, its degree under a shared frozen robust-soliton CDF, and ordered source indices from native random.sample(xrange(67088), degree). The CDF uses the pinned original formula with delta 0.001 and c 0.025. This is a newly generated compatibility oracle, not an original-author archived output.</w:t>
      </w:r>
    </w:p>
    <w:p>
      <w:r>
        <w:t>An independent explicit mirror of the CPython 2.7 pool/set sampling algorithm, driven by integer-seeded MT uniform draws, agrees exactly on every archived vector: zero mismatches. In contrast, the current Python3 random.sample implementation gives a different ordered vector for every one of the 4,677 seeds. A direct Python3 port therefore cannot silently stand in for this native sampling branch.</w:t>
      </w:r>
    </w:p>
    <w:p>
      <w:r>
        <w:t>The test establishes sample compatibility for the tested seeds under pinned CPython 2.7.18 and the shared CDF. It does not establish the original unpinned interpreter/dependency versions, the NumPy sampling flag, an original encoded payload identity, or the entire Cython receiver. Degree-CDF equivalence against an independently built original NumPy/Cython environment is not separately certified here. No graph peeling or payload decoding is performed. Source hashes, frozen input, actual2.7 vectors and comparison result are retained in research/python27_sample_source_hashes.json and results/python27_sample_parity_audit.json. Official source: https://www.python.org/ftp/python/2.7.18/Python-2.7.18.tgz.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