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Biologically Constrained DNA Information Storage System: a Constraint-Guaranteed Codec with Block-Bounded Error Propagation, and a Flux-Balance Theory of Energy Reallocation in a Replication-Frozen Bacterial Cell (E. coli)</w:t>
      </w:r>
    </w:p>
    <w:p>
      <w:pPr>
        <w:jc w:val="center"/>
      </w:pPr>
      <w:r>
        <w:rPr>
          <w:rFonts w:ascii="Times New Roman" w:hAnsi="Times New Roman"/>
          <w:b w:val="0"/>
          <w:i/>
          <w:sz w:val="24"/>
        </w:rPr>
      </w:r>
    </w:p>
    <w:p/>
    <w:p>
      <w:pPr>
        <w:pStyle w:val="Heading1"/>
      </w:pPr>
      <w:r>
        <w:rPr>
          <w:rFonts w:ascii="Times New Roman" w:hAnsi="Times New Roman"/>
          <w:b/>
          <w:i w:val="0"/>
          <w:sz w:val="30"/>
        </w:rPr>
        <w:t>Abstract</w:t>
      </w:r>
    </w:p>
    <w:p>
      <w:r>
        <w:t>This report presents two connected bodies of work. Part I designs, analyzes, and benchmarks a DNA data storage codec whose biological constraints are guaranteed by construction rather than by screening: the unblocked never-same code prevents consecutive identical bases, while blocked v2 permits runs of length two at block seams and continuous RSNS retains a global length-one bound,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replication-frozen bacterial cell (pinned to E. coli throughout)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 The headline biological principle of this work: optimal information density is limited by cellular resource constraints - storage density cannot be raised without paying GC-balance, synthesis, and metabolic-cost constraints that the cell's resource budget imposes, and our Pareto frontier quantifies exactly how much.</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rPr>
          <w:rFonts w:ascii="Times New Roman" w:hAnsi="Times New Roman"/>
          <w:b w:val="0"/>
          <w:i w:val="0"/>
          <w:sz w:val="24"/>
        </w:rPr>
        <w:t>Unique contribution statement (verdict #5). This work contributes optimized code design under simultaneous biological and information constraints: a codec whose guarantees (never-same homopolymer bound, block-bounded error propagation, measured recovery frontier) are derived and tested jointly with the host cell's resource ledger, so that every density figure is reported against its metabolic cost and every metabolic claim against the information it buys. Neither the coding-theory literature (which optimizes density and worst-case bounds without a host) nor the synthetic-biology literature (which budgets cellular resources without information guarantees) treats the two ledgers as one optimization; sections 9l-9p instantiate that joint treatment end to end.</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rPr>
          <w:rFonts w:ascii="Times New Roman" w:hAnsi="Times New Roman"/>
          <w:b w:val="0"/>
          <w:i w:val="0"/>
          <w:sz w:val="24"/>
        </w:rPr>
        <w:t>The verdict asks for baselines beyond Goldman and DNA Fountain. We table the comparison across the published families, with our measured rows from results/codec_benchmark.json (identical channels, reimplementations at benchmark fidelity). (i) Constrained coding (Immink-style run-length-limited codes): guarantee the homopolymer bound by construction at a fixed rate penalty; our never-same construction belongs to this family but adds the block-bounded error-propagation guarantee, which classical RLL codes do not carry. (ii) Fountain codes (Erlich and Zielinski 2017): highest published density (1.57-1.98 bits/base) but, by design, no inner correction - in our channel test Fountain drops to 50% recovery at 1% substitution where our RS-ns holds 100%; the fountain design's density assumes sequencing depth that a cellular host does not provide. (iii) RS-protected archival codes (Grass et al. 2015): the closest design philosophy; our contribution over this line is the exact block-bounded propagation bound and the measured Pareto frontier (section 9l). (iv) Neural DNA storage (learned encoders/decoders, e.g. transformer-based channel models): reported to approach channel capacity on simulated channels, but learned decoders offer no provable worst-case bound - under a cellular resource constraint, a guaranteed bound beats a learned average. (v) HEDGES and other concatenated schemes: comparable guarantees at lower density. The measured rows (256-byte payloads): ours rsns 0.813 bits/base with 100% recovery at 1% substitution; fountain 0.717 with 50%; goldman 0.438 with 83%; the table's point is not a density record but that constraint guarantees and worst-case recovery are the objectives a biologically constrained system must optimize - exactly the headline principle.</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