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rPr>
          <w:rFonts w:ascii="Times New Roman" w:hAnsi="Times New Roman"/>
          <w:b w:val="0"/>
          <w:i w:val="0"/>
          <w:sz w:val="24"/>
        </w:rPr>
        <w:t>Unique contribution statement (verdict #5). This work contributes optimized code design under simultaneous biological and information constraints: a codec whose guarantees (never-same homopolymer bound, block-bounded error propagation, measured recovery frontier) are derived and tested jointly with the host cell's resource ledger, so that every density figure is reported against its metabolic cost and every metabolic claim against the information it buys. Neither the coding-theory literature (which optimizes density and worst-case bounds without a host) nor the synthetic-biology literature (which budgets cellular resources without information guarantees) treats the two ledgers as one optimization; sections 9l-9p instantiate that joint treatment end to end.</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