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Computational design of a banana-expressed edible vaccine and an Enviropig-style phytase phosphorus budget</w:t>
      </w:r>
    </w:p>
    <w:p>
      <w:pPr>
        <w:jc w:val="center"/>
      </w:pPr>
      <w:r>
        <w:t>Udita Phookan - MEGA-PROGRAM-27, item 24 (two computational studies)</w:t>
      </w:r>
    </w:p>
    <w:p>
      <w:pPr>
        <w:pStyle w:val="Heading1"/>
      </w:pPr>
      <w:r>
        <w:t>Abstract</w:t>
      </w:r>
    </w:p>
    <w:p>
      <w:r>
        <w:t>Study 1 designs an edible vaccine for banana expression: a BepiPred-1-style composite (Kyte-Doolittle hydrophobicity, Emini surface probability, Karplus-Schulz flexibility) selects linear B-cell epitopes from a viral surface-antigen fragment, and the construct is codon-optimized to Musa acuminata usage with a verified CAI of 1.000 and balanced GC. Study 2 models the Enviropig concept: E. coli AppA phytase codon-optimized for pig salivary expression (CAI 1.000), a twin-peak pH activity model, and a gut-compartment Michaelis-Menten mass balance that reproduces the published 20-60% manure-phosphorus reduction band (ours: 54%). Both pipelines are unit-tested (10 tests) and fully reproducible.</w:t>
      </w:r>
    </w:p>
    <w:p>
      <w:pPr>
        <w:pStyle w:val="Heading1"/>
      </w:pPr>
      <w:r>
        <w:t>Study 1 - banana edible vaccine</w:t>
      </w:r>
    </w:p>
    <w:p>
      <w:r>
        <w:t>Rationale. Edible vaccines express antigen in food crops; banana is a leading candidate host (raw consumption, palatability, tropical production where cold chains are weak). We couple a transparent epitope predictor with host-matched codon optimization - the two computational gates any real construct must pass.</w:t>
      </w:r>
    </w:p>
    <w:p>
      <w:r>
        <w:t>Methods. The composite propensity score (surface + flexibility - 0.5x hydrophobicity, window 7) is computed per residue; top non-overlapping 15-mers (gap &gt;= 10) are selected. The chosen epitope is reverse-translated greedily to the highest-usage banana codon per residue; CAI and GC are verified. Unit tests confirm surface-oriented peptides outscore hydrophobic ones, epitopes do not overlap, and CAI of the optimized construct is exactly 1.</w:t>
      </w:r>
    </w:p>
    <w:p>
      <w:r>
        <w:t>Results. Top epitope: SGTNGTKRFDNPVLP (score 1.527, residues 70-85). Optimized CDS: TCTGGTACTAATGGTACTAAAAGATTTGATAATCCTGTTTTGCCT (CAI 1.000, GC 33.3%). Further candidates in Table 1.</w:t>
      </w:r>
    </w:p>
    <w:p>
      <w:pPr>
        <w:pStyle w:val="Heading1"/>
      </w:pPr>
      <w:r>
        <w:t>Study 2 - Enviropig phytase budget</w:t>
      </w:r>
    </w:p>
    <w:p>
      <w:r>
        <w:t>Rationale. Monogastric pigs excrete most dietary phytate phosphorus; the Guelph Enviropig expressed salivary AppA phytase and cut manure phosphorus 20-60% (Golovan 2001, Forsberg 2003). We ask whether a compartmental kinetic model reproduces that band from first principles.</w:t>
      </w:r>
    </w:p>
    <w:p>
      <w:r>
        <w:t>Methods. AppA is codon-optimized to Sus scrofa salivary usage (CAI verified 1.000). Phytase activity follows a twin-peak pH profile (optima pH 2.5 and 5.5, per published AppA curves); each gut compartment hydrolyses phytate by Michaelis-Menten kinetics; a phosphorus mass balance conserves total P exactly (unit-tested).</w:t>
      </w:r>
    </w:p>
    <w:p>
      <w:r>
        <w:t>Results. Without phytase: absorbed 2.08 g, excreted 2.92 g of a 5 g diet. With salivary phytase: absorbed 3.66 g, excreted 1.34 g - a 54% reduction in excreted phosphorus, inside the published 20-60% band. Enzyme dose-response is monotone (unit-tested).</w:t>
      </w:r>
    </w:p>
    <w:p>
      <w:pPr>
        <w:pStyle w:val="Heading1"/>
      </w:pPr>
      <w:r>
        <w:t>Limitations</w:t>
      </w:r>
    </w:p>
    <w:p>
      <w:r>
        <w:t>Both studies are computational. Epitope scores are propensity composites, not BepiPred-2/3 neural predictors; the phytase model omits gastric emptying dynamics and microbial phytases. No wet-lab claim is made.</w:t>
      </w:r>
    </w:p>
    <w:p>
      <w:r>
        <w:rPr>
          <w:i/>
        </w:rPr>
        <w:t>Table 1. Selected banana-vaccine epitope candidates.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peptide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SGTNGTKRFDNPVLP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1.527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TNSFTRGVYYPDKVF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1.401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IIRGWIFGTTLDSKT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1.037</w:t>
            </w:r>
          </w:p>
        </w:tc>
      </w:tr>
    </w:tbl>
    <w:p>
      <w:r>
        <w:rPr>
          <w:i/>
        </w:rPr>
        <w:t>Table 2. Phosphorus budget (5 g dietary 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arm</w:t>
            </w:r>
          </w:p>
        </w:tc>
        <w:tc>
          <w:tcPr>
            <w:tcW w:type="dxa" w:w="2880"/>
          </w:tcPr>
          <w:p>
            <w:r>
              <w:t>absorbed (g)</w:t>
            </w:r>
          </w:p>
        </w:tc>
        <w:tc>
          <w:tcPr>
            <w:tcW w:type="dxa" w:w="2880"/>
          </w:tcPr>
          <w:p>
            <w:r>
              <w:t>excreted (g)</w:t>
            </w:r>
          </w:p>
        </w:tc>
      </w:tr>
      <w:tr>
        <w:tc>
          <w:tcPr>
            <w:tcW w:type="dxa" w:w="2880"/>
          </w:tcPr>
          <w:p>
            <w:r>
              <w:t>no phytase</w:t>
            </w:r>
          </w:p>
        </w:tc>
        <w:tc>
          <w:tcPr>
            <w:tcW w:type="dxa" w:w="2880"/>
          </w:tcPr>
          <w:p>
            <w:r>
              <w:t>2.08</w:t>
            </w:r>
          </w:p>
        </w:tc>
        <w:tc>
          <w:tcPr>
            <w:tcW w:type="dxa" w:w="2880"/>
          </w:tcPr>
          <w:p>
            <w:r>
              <w:t>2.92</w:t>
            </w:r>
          </w:p>
        </w:tc>
      </w:tr>
      <w:tr>
        <w:tc>
          <w:tcPr>
            <w:tcW w:type="dxa" w:w="2880"/>
          </w:tcPr>
          <w:p>
            <w:r>
              <w:t>salivary AppA</w:t>
            </w:r>
          </w:p>
        </w:tc>
        <w:tc>
          <w:tcPr>
            <w:tcW w:type="dxa" w:w="2880"/>
          </w:tcPr>
          <w:p>
            <w:r>
              <w:t>3.66</w:t>
            </w:r>
          </w:p>
        </w:tc>
        <w:tc>
          <w:tcPr>
            <w:tcW w:type="dxa" w:w="2880"/>
          </w:tcPr>
          <w:p>
            <w:r>
              <w:t>1.34</w:t>
            </w:r>
          </w:p>
        </w:tc>
      </w:tr>
    </w:tbl>
    <w:p>
      <w:pPr>
        <w:pStyle w:val="Heading1"/>
      </w:pPr>
      <w:r>
        <w:t>References</w:t>
      </w:r>
    </w:p>
    <w:p>
      <w:r>
        <w:t>[1] Golovan S.P. et al. Pigs expressing salivary phytase produce low-phosphorus manure. Nature Biotechnology 2001;19:741-745.</w:t>
      </w:r>
    </w:p>
    <w:p>
      <w:r>
        <w:t>[2] Forsberg C.W. et al. The Enviropig physiology, performance, and contribution to nutrient management advances. J Anim Sci 2003.</w:t>
      </w:r>
    </w:p>
    <w:p>
      <w:r>
        <w:t>[3] Kyte J., Doolittle R.F. A simple method for displaying the hydropathic character of a protein. J Mol Biol 1982;157:105-132.</w:t>
      </w:r>
    </w:p>
    <w:p>
      <w:r>
        <w:t>[4] Emini E.A. et al. Induction of hepatitis A virus-neutralizing antibody by a virus-specific synthetic peptide. J Virol 1985.</w:t>
      </w:r>
    </w:p>
    <w:p>
      <w:r>
        <w:t>[5] Kumar G.B.S. et al. Expression of hepatitis B surface antigen in transgenic banana plants. Planta 2005;222:484-493.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