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Cross-cohort</w:t>
      </w:r>
      <w:r>
        <w:rPr>
          <w:rFonts w:ascii="Times New Roman" w:hAnsi="Times New Roman"/>
        </w:rPr>
        <w:t xml:space="preserve"> </w:t>
      </w:r>
      <w:r>
        <w:rPr>
          <w:rFonts w:ascii="Times New Roman" w:hAnsi="Times New Roman"/>
        </w:rPr>
        <w:t xml:space="preserve">candidate</w:t>
      </w:r>
      <w:r>
        <w:rPr>
          <w:rFonts w:ascii="Times New Roman" w:hAnsi="Times New Roman"/>
        </w:rPr>
        <w:t xml:space="preserve"> </w:t>
      </w:r>
      <w:r>
        <w:rPr>
          <w:rFonts w:ascii="Times New Roman" w:hAnsi="Times New Roman"/>
        </w:rPr>
        <w:t xml:space="preserve">biomarkers</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under-served</w:t>
      </w:r>
      <w:r>
        <w:rPr>
          <w:rFonts w:ascii="Times New Roman" w:hAnsi="Times New Roman"/>
        </w:rPr>
        <w:t xml:space="preserve"> </w:t>
      </w:r>
      <w:r>
        <w:rPr>
          <w:rFonts w:ascii="Times New Roman" w:hAnsi="Times New Roman"/>
        </w:rPr>
        <w:t xml:space="preserve">diseases:</w:t>
      </w:r>
      <w:r>
        <w:rPr>
          <w:rFonts w:ascii="Times New Roman" w:hAnsi="Times New Roman"/>
        </w:rPr>
        <w:br/>
      </w:r>
      <w:r>
        <w:rPr>
          <w:rFonts w:ascii="Times New Roman" w:hAnsi="Times New Roman"/>
        </w:rPr>
        <w:t xml:space="preserve">a</w:t>
      </w:r>
      <w:r>
        <w:rPr>
          <w:rFonts w:ascii="Times New Roman" w:hAnsi="Times New Roman"/>
        </w:rPr>
        <w:t xml:space="preserve"> </w:t>
      </w:r>
      <w:r>
        <w:rPr>
          <w:rFonts w:ascii="Times New Roman" w:hAnsi="Times New Roman"/>
        </w:rPr>
        <w:t xml:space="preserve">transparent</w:t>
      </w:r>
      <w:r>
        <w:rPr>
          <w:rFonts w:ascii="Times New Roman" w:hAnsi="Times New Roman"/>
        </w:rPr>
        <w:t xml:space="preserve"> </w:t>
      </w:r>
      <w:r>
        <w:rPr>
          <w:rFonts w:ascii="Times New Roman" w:hAnsi="Times New Roman"/>
        </w:rPr>
        <w:t xml:space="preserve">multi-disease</w:t>
      </w:r>
      <w:r>
        <w:rPr>
          <w:rFonts w:ascii="Times New Roman" w:hAnsi="Times New Roman"/>
        </w:rPr>
        <w:t xml:space="preserve"> </w:t>
      </w:r>
      <w:r>
        <w:rPr>
          <w:rFonts w:ascii="Times New Roman" w:hAnsi="Times New Roman"/>
        </w:rPr>
        <w:t xml:space="preserve">negative-results</w:t>
      </w:r>
      <w:r>
        <w:rPr>
          <w:rFonts w:ascii="Times New Roman" w:hAnsi="Times New Roman"/>
        </w:rPr>
        <w:t xml:space="preserve"> </w:t>
      </w:r>
      <w:r>
        <w:rPr>
          <w:rFonts w:ascii="Times New Roman" w:hAnsi="Times New Roman"/>
        </w:rPr>
        <w:t xml:space="preserve">study</w:t>
      </w:r>
    </w:p>
    <w:p>
      <w:pPr>
        <w:pStyle w:val="Date"/>
      </w:pPr>
      <w:r>
        <w:rPr>
          <w:rFonts w:ascii="Times New Roman" w:hAnsi="Times New Roman"/>
        </w:rPr>
        <w:t xml:space="preserve">25</w:t>
      </w:r>
      <w:r>
        <w:rPr>
          <w:rFonts w:ascii="Times New Roman" w:hAnsi="Times New Roman"/>
        </w:rPr>
        <w:t xml:space="preserve"> </w:t>
      </w:r>
      <w:r>
        <w:rPr>
          <w:rFonts w:ascii="Times New Roman" w:hAnsi="Times New Roman"/>
        </w:rPr>
        <w:t xml:space="preserve">September</w:t>
      </w:r>
      <w:r>
        <w:rPr>
          <w:rFonts w:ascii="Times New Roman" w:hAnsi="Times New Roman"/>
        </w:rPr>
        <w:t xml:space="preserve"> </w:t>
      </w:r>
      <w:r>
        <w:rPr>
          <w:rFonts w:ascii="Times New Roman" w:hAnsi="Times New Roman"/>
        </w:rPr>
        <w:t xml:space="preserve">2026</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working</w:t>
      </w:r>
      <w:r>
        <w:rPr>
          <w:rFonts w:ascii="Times New Roman" w:hAnsi="Times New Roman"/>
        </w:rPr>
        <w:t xml:space="preserve"> </w:t>
      </w:r>
      <w:r>
        <w:rPr>
          <w:rFonts w:ascii="Times New Roman" w:hAnsi="Times New Roman"/>
        </w:rPr>
        <w:t xml:space="preserve">manuscript;</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yet</w:t>
      </w:r>
      <w:r>
        <w:rPr>
          <w:rFonts w:ascii="Times New Roman" w:hAnsi="Times New Roman"/>
        </w:rPr>
        <w:t xml:space="preserve"> </w:t>
      </w:r>
      <w:r>
        <w:rPr>
          <w:rFonts w:ascii="Times New Roman" w:hAnsi="Times New Roman"/>
        </w:rPr>
        <w:t xml:space="preserve">complete</w:t>
      </w:r>
    </w:p>
    <w:p>
      <w:pPr>
        <w:pStyle w:val="Abstract"/>
      </w:pPr>
      <w:r>
        <w:rPr>
          <w:rFonts w:ascii="Times New Roman" w:hAnsi="Times New Roman"/>
        </w:rPr>
        <w:t xml:space="preserve">We</w:t>
      </w:r>
      <w:r>
        <w:rPr>
          <w:rFonts w:ascii="Times New Roman" w:hAnsi="Times New Roman"/>
        </w:rPr>
        <w:t xml:space="preserve"> </w:t>
      </w:r>
      <w:r>
        <w:rPr>
          <w:rFonts w:ascii="Times New Roman" w:hAnsi="Times New Roman"/>
        </w:rPr>
        <w:t xml:space="preserve">evaluate</w:t>
      </w:r>
      <w:r>
        <w:rPr>
          <w:rFonts w:ascii="Times New Roman" w:hAnsi="Times New Roman"/>
        </w:rPr>
        <w:t xml:space="preserve"> </w:t>
      </w:r>
      <w:r>
        <w:rPr>
          <w:rFonts w:ascii="Times New Roman" w:hAnsi="Times New Roman"/>
        </w:rPr>
        <w:t xml:space="preserve">expression-derived</w:t>
      </w:r>
      <w:r>
        <w:rPr>
          <w:rFonts w:ascii="Times New Roman" w:hAnsi="Times New Roman"/>
        </w:rPr>
        <w:t xml:space="preserve"> </w:t>
      </w:r>
      <w:r>
        <w:rPr>
          <w:rFonts w:ascii="Times New Roman" w:hAnsi="Times New Roman"/>
        </w:rPr>
        <w:t xml:space="preserve">gene</w:t>
      </w:r>
      <w:r>
        <w:rPr>
          <w:rFonts w:ascii="Times New Roman" w:hAnsi="Times New Roman"/>
        </w:rPr>
        <w:t xml:space="preserve"> </w:t>
      </w:r>
      <w:r>
        <w:rPr>
          <w:rFonts w:ascii="Times New Roman" w:hAnsi="Times New Roman"/>
        </w:rPr>
        <w:t xml:space="preserve">candidates</w:t>
      </w:r>
      <w:r>
        <w:rPr>
          <w:rFonts w:ascii="Times New Roman" w:hAnsi="Times New Roman"/>
        </w:rPr>
        <w:t xml:space="preserve"> </w:t>
      </w:r>
      <w:r>
        <w:rPr>
          <w:rFonts w:ascii="Times New Roman" w:hAnsi="Times New Roman"/>
        </w:rPr>
        <w:t xml:space="preserve">across</w:t>
      </w:r>
      <w:r>
        <w:rPr>
          <w:rFonts w:ascii="Times New Roman" w:hAnsi="Times New Roman"/>
        </w:rPr>
        <w:t xml:space="preserve"> </w:t>
      </w:r>
      <w:r>
        <w:rPr>
          <w:rFonts w:ascii="Times New Roman" w:hAnsi="Times New Roman"/>
        </w:rPr>
        <w:t xml:space="preserve">nine</w:t>
      </w:r>
      <w:r>
        <w:rPr>
          <w:rFonts w:ascii="Times New Roman" w:hAnsi="Times New Roman"/>
        </w:rPr>
        <w:t xml:space="preserve"> </w:t>
      </w:r>
      <w:r>
        <w:rPr>
          <w:rFonts w:ascii="Times New Roman" w:hAnsi="Times New Roman"/>
        </w:rPr>
        <w:t xml:space="preserve">original</w:t>
      </w:r>
      <w:r>
        <w:rPr>
          <w:rFonts w:ascii="Times New Roman" w:hAnsi="Times New Roman"/>
        </w:rPr>
        <w:t xml:space="preserve"> </w:t>
      </w:r>
      <w:r>
        <w:rPr>
          <w:rFonts w:ascii="Times New Roman" w:hAnsi="Times New Roman"/>
        </w:rPr>
        <w:t xml:space="preserve">disease</w:t>
      </w:r>
      <w:r>
        <w:rPr>
          <w:rFonts w:ascii="Times New Roman" w:hAnsi="Times New Roman"/>
        </w:rPr>
        <w:t xml:space="preserve"> </w:t>
      </w:r>
      <w:r>
        <w:rPr>
          <w:rFonts w:ascii="Times New Roman" w:hAnsi="Times New Roman"/>
        </w:rPr>
        <w:t xml:space="preserve">labels,</w:t>
      </w:r>
      <w:r>
        <w:rPr>
          <w:rFonts w:ascii="Times New Roman" w:hAnsi="Times New Roman"/>
        </w:rPr>
        <w:t xml:space="preserve"> </w:t>
      </w:r>
      <w:r>
        <w:rPr>
          <w:rFonts w:ascii="Times New Roman" w:hAnsi="Times New Roman"/>
        </w:rPr>
        <w:t xml:space="preserve">including</w:t>
      </w:r>
      <w:r>
        <w:rPr>
          <w:rFonts w:ascii="Times New Roman" w:hAnsi="Times New Roman"/>
        </w:rPr>
        <w:t xml:space="preserve"> </w:t>
      </w:r>
      <w:r>
        <w:rPr>
          <w:rFonts w:ascii="Times New Roman" w:hAnsi="Times New Roman"/>
        </w:rPr>
        <w:t xml:space="preserve">postpartum</w:t>
      </w:r>
      <w:r>
        <w:rPr>
          <w:rFonts w:ascii="Times New Roman" w:hAnsi="Times New Roman"/>
        </w:rPr>
        <w:t xml:space="preserve"> </w:t>
      </w:r>
      <w:r>
        <w:rPr>
          <w:rFonts w:ascii="Times New Roman" w:hAnsi="Times New Roman"/>
        </w:rPr>
        <w:t xml:space="preserve">depression,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later</w:t>
      </w:r>
      <w:r>
        <w:rPr>
          <w:rFonts w:ascii="Times New Roman" w:hAnsi="Times New Roman"/>
        </w:rPr>
        <w:t xml:space="preserve"> </w:t>
      </w:r>
      <w:r>
        <w:rPr>
          <w:rFonts w:ascii="Times New Roman" w:hAnsi="Times New Roman"/>
        </w:rPr>
        <w:t xml:space="preserve">add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distinct</w:t>
      </w:r>
      <w:r>
        <w:rPr>
          <w:rFonts w:ascii="Times New Roman" w:hAnsi="Times New Roman"/>
        </w:rPr>
        <w:t xml:space="preserve"> </w:t>
      </w:r>
      <w:r>
        <w:rPr>
          <w:rFonts w:ascii="Times New Roman" w:hAnsi="Times New Roman"/>
        </w:rPr>
        <w:t xml:space="preserve">long-COVID</w:t>
      </w:r>
      <w:r>
        <w:rPr>
          <w:rFonts w:ascii="Times New Roman" w:hAnsi="Times New Roman"/>
        </w:rPr>
        <w:t xml:space="preserve"> </w:t>
      </w:r>
      <w:r>
        <w:rPr>
          <w:rFonts w:ascii="Times New Roman" w:hAnsi="Times New Roman"/>
        </w:rPr>
        <w:t xml:space="preserve">follow-up</w:t>
      </w:r>
      <w:r>
        <w:rPr>
          <w:rFonts w:ascii="Times New Roman" w:hAnsi="Times New Roman"/>
        </w:rPr>
        <w:t xml:space="preserve"> </w:t>
      </w:r>
      <w:r>
        <w:rPr>
          <w:rFonts w:ascii="Times New Roman" w:hAnsi="Times New Roman"/>
        </w:rPr>
        <w:t xml:space="preserve">arm.</w:t>
      </w:r>
      <w:r>
        <w:rPr>
          <w:rFonts w:ascii="Times New Roman" w:hAnsi="Times New Roman"/>
        </w:rPr>
        <w:t xml:space="preserve"> </w:t>
      </w:r>
      <w:r>
        <w:rPr>
          <w:rFonts w:ascii="Times New Roman" w:hAnsi="Times New Roman"/>
        </w:rPr>
        <w:t xml:space="preserve">These</w:t>
      </w:r>
      <w:r>
        <w:rPr>
          <w:rFonts w:ascii="Times New Roman" w:hAnsi="Times New Roman"/>
        </w:rPr>
        <w:t xml:space="preserve"> </w:t>
      </w:r>
      <w:r>
        <w:rPr>
          <w:rFonts w:ascii="Times New Roman" w:hAnsi="Times New Roman"/>
        </w:rPr>
        <w:t xml:space="preserve">ten</w:t>
      </w:r>
      <w:r>
        <w:rPr>
          <w:rFonts w:ascii="Times New Roman" w:hAnsi="Times New Roman"/>
        </w:rPr>
        <w:t xml:space="preserve"> </w:t>
      </w:r>
      <w:r>
        <w:rPr>
          <w:rFonts w:ascii="Times New Roman" w:hAnsi="Times New Roman"/>
        </w:rPr>
        <w:t xml:space="preserve">disease</w:t>
      </w:r>
      <w:r>
        <w:rPr>
          <w:rFonts w:ascii="Times New Roman" w:hAnsi="Times New Roman"/>
        </w:rPr>
        <w:t xml:space="preserve"> </w:t>
      </w:r>
      <w:r>
        <w:rPr>
          <w:rFonts w:ascii="Times New Roman" w:hAnsi="Times New Roman"/>
        </w:rPr>
        <w:t xml:space="preserve">topics</w:t>
      </w:r>
      <w:r>
        <w:rPr>
          <w:rFonts w:ascii="Times New Roman" w:hAnsi="Times New Roman"/>
        </w:rPr>
        <w:t xml:space="preserve"> </w:t>
      </w:r>
      <w:r>
        <w:rPr>
          <w:rFonts w:ascii="Times New Roman" w:hAnsi="Times New Roman"/>
        </w:rPr>
        <w:t xml:space="preserve">now</w:t>
      </w:r>
      <w:r>
        <w:rPr>
          <w:rFonts w:ascii="Times New Roman" w:hAnsi="Times New Roman"/>
        </w:rPr>
        <w:t xml:space="preserve"> </w:t>
      </w:r>
      <w:r>
        <w:rPr>
          <w:rFonts w:ascii="Times New Roman" w:hAnsi="Times New Roman"/>
        </w:rPr>
        <w:t xml:space="preserve">require</w:t>
      </w:r>
      <w:r>
        <w:rPr>
          <w:rFonts w:ascii="Times New Roman" w:hAnsi="Times New Roman"/>
        </w:rPr>
        <w:t xml:space="preserve"> </w:t>
      </w:r>
      <w:r>
        <w:rPr>
          <w:rFonts w:ascii="Times New Roman" w:hAnsi="Times New Roman"/>
        </w:rPr>
        <w:t xml:space="preserve">ten</w:t>
      </w:r>
      <w:r>
        <w:rPr>
          <w:rFonts w:ascii="Times New Roman" w:hAnsi="Times New Roman"/>
        </w:rPr>
        <w:t xml:space="preserve"> </w:t>
      </w:r>
      <w:r>
        <w:rPr>
          <w:rFonts w:ascii="Times New Roman" w:hAnsi="Times New Roman"/>
        </w:rPr>
        <w:t xml:space="preserve">separate</w:t>
      </w:r>
      <w:r>
        <w:rPr>
          <w:rFonts w:ascii="Times New Roman" w:hAnsi="Times New Roman"/>
        </w:rPr>
        <w:t xml:space="preserve"> </w:t>
      </w:r>
      <w:r>
        <w:rPr>
          <w:rFonts w:ascii="Times New Roman" w:hAnsi="Times New Roman"/>
        </w:rPr>
        <w:t xml:space="preserve">projects;</w:t>
      </w:r>
      <w:r>
        <w:rPr>
          <w:rFonts w:ascii="Times New Roman" w:hAnsi="Times New Roman"/>
        </w:rPr>
        <w:t xml:space="preserve"> </w:t>
      </w:r>
      <w:r>
        <w:rPr>
          <w:rFonts w:ascii="Times New Roman" w:hAnsi="Times New Roman"/>
        </w:rPr>
        <w:t xml:space="preserve">this</w:t>
      </w:r>
      <w:r>
        <w:rPr>
          <w:rFonts w:ascii="Times New Roman" w:hAnsi="Times New Roman"/>
        </w:rPr>
        <w:t xml:space="preserve"> </w:t>
      </w:r>
      <w:r>
        <w:rPr>
          <w:rFonts w:ascii="Times New Roman" w:hAnsi="Times New Roman"/>
        </w:rPr>
        <w:t xml:space="preserve">manuscript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only</w:t>
      </w:r>
      <w:r>
        <w:rPr>
          <w:rFonts w:ascii="Times New Roman" w:hAnsi="Times New Roman"/>
        </w:rPr>
        <w:t xml:space="preserve"> </w:t>
      </w:r>
      <w:r>
        <w:rPr>
          <w:rFonts w:ascii="Times New Roman" w:hAnsi="Times New Roman"/>
        </w:rPr>
        <w:t xml:space="preserve">their</w:t>
      </w:r>
      <w:r>
        <w:rPr>
          <w:rFonts w:ascii="Times New Roman" w:hAnsi="Times New Roman"/>
        </w:rPr>
        <w:t xml:space="preserve"> </w:t>
      </w:r>
      <w:r>
        <w:rPr>
          <w:rFonts w:ascii="Times New Roman" w:hAnsi="Times New Roman"/>
        </w:rPr>
        <w:t xml:space="preserve">shared</w:t>
      </w:r>
      <w:r>
        <w:rPr>
          <w:rFonts w:ascii="Times New Roman" w:hAnsi="Times New Roman"/>
        </w:rPr>
        <w:t xml:space="preserve"> </w:t>
      </w:r>
      <w:r>
        <w:rPr>
          <w:rFonts w:ascii="Times New Roman" w:hAnsi="Times New Roman"/>
        </w:rPr>
        <w:t xml:space="preserve">working</w:t>
      </w:r>
      <w:r>
        <w:rPr>
          <w:rFonts w:ascii="Times New Roman" w:hAnsi="Times New Roman"/>
        </w:rPr>
        <w:t xml:space="preserve"> </w:t>
      </w:r>
      <w:r>
        <w:rPr>
          <w:rFonts w:ascii="Times New Roman" w:hAnsi="Times New Roman"/>
        </w:rPr>
        <w:t xml:space="preserve">core,</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substitute</w:t>
      </w:r>
      <w:r>
        <w:rPr>
          <w:rFonts w:ascii="Times New Roman" w:hAnsi="Times New Roman"/>
        </w:rPr>
        <w:t xml:space="preserve"> </w:t>
      </w:r>
      <w:r>
        <w:rPr>
          <w:rFonts w:ascii="Times New Roman" w:hAnsi="Times New Roman"/>
        </w:rPr>
        <w:t xml:space="preserve">for</w:t>
      </w:r>
      <w:r>
        <w:rPr>
          <w:rFonts w:ascii="Times New Roman" w:hAnsi="Times New Roman"/>
        </w:rPr>
        <w:t xml:space="preserve"> </w:t>
      </w:r>
      <w:r>
        <w:rPr>
          <w:rFonts w:ascii="Times New Roman" w:hAnsi="Times New Roman"/>
        </w:rPr>
        <w:t xml:space="preserve">ten</w:t>
      </w:r>
      <w:r>
        <w:rPr>
          <w:rFonts w:ascii="Times New Roman" w:hAnsi="Times New Roman"/>
        </w:rPr>
        <w:t xml:space="preserve"> </w:t>
      </w:r>
      <w:r>
        <w:rPr>
          <w:rFonts w:ascii="Times New Roman" w:hAnsi="Times New Roman"/>
        </w:rPr>
        <w:t xml:space="preserve">papers.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prespecified</w:t>
      </w:r>
      <w:r>
        <w:rPr>
          <w:rFonts w:ascii="Times New Roman" w:hAnsi="Times New Roman"/>
        </w:rPr>
        <w:t xml:space="preserve"> </w:t>
      </w:r>
      <w:r>
        <w:rPr>
          <w:rFonts w:ascii="Times New Roman" w:hAnsi="Times New Roman"/>
        </w:rPr>
        <w:t xml:space="preserve">duplicate-sample</w:t>
      </w:r>
      <w:r>
        <w:rPr>
          <w:rFonts w:ascii="Times New Roman" w:hAnsi="Times New Roman"/>
        </w:rPr>
        <w:t xml:space="preserve"> </w:t>
      </w:r>
      <w:r>
        <w:rPr>
          <w:rFonts w:ascii="Times New Roman" w:hAnsi="Times New Roman"/>
        </w:rPr>
        <w:t xml:space="preserve">audit</w:t>
      </w:r>
      <w:r>
        <w:rPr>
          <w:rFonts w:ascii="Times New Roman" w:hAnsi="Times New Roman"/>
        </w:rPr>
        <w:t xml:space="preserve"> </w:t>
      </w:r>
      <w:r>
        <w:rPr>
          <w:rFonts w:ascii="Times New Roman" w:hAnsi="Times New Roman"/>
        </w:rPr>
        <w:t xml:space="preserve">materially</w:t>
      </w:r>
      <w:r>
        <w:rPr>
          <w:rFonts w:ascii="Times New Roman" w:hAnsi="Times New Roman"/>
        </w:rPr>
        <w:t xml:space="preserve"> </w:t>
      </w:r>
      <w:r>
        <w:rPr>
          <w:rFonts w:ascii="Times New Roman" w:hAnsi="Times New Roman"/>
        </w:rPr>
        <w:t xml:space="preserve">changed</w:t>
      </w:r>
      <w:r>
        <w:rPr>
          <w:rFonts w:ascii="Times New Roman" w:hAnsi="Times New Roman"/>
        </w:rPr>
        <w:t xml:space="preserve"> </w:t>
      </w:r>
      <w:r>
        <w:rPr>
          <w:rFonts w:ascii="Times New Roman" w:hAnsi="Times New Roman"/>
        </w:rPr>
        <w:t xml:space="preserve">earlier</w:t>
      </w:r>
      <w:r>
        <w:rPr>
          <w:rFonts w:ascii="Times New Roman" w:hAnsi="Times New Roman"/>
        </w:rPr>
        <w:t xml:space="preserve"> </w:t>
      </w:r>
      <w:r>
        <w:rPr>
          <w:rFonts w:ascii="Times New Roman" w:hAnsi="Times New Roman"/>
        </w:rPr>
        <w:t xml:space="preserve">apparent</w:t>
      </w:r>
      <w:r>
        <w:rPr>
          <w:rFonts w:ascii="Times New Roman" w:hAnsi="Times New Roman"/>
        </w:rPr>
        <w:t xml:space="preserve"> </w:t>
      </w:r>
      <w:r>
        <w:rPr>
          <w:rFonts w:ascii="Times New Roman" w:hAnsi="Times New Roman"/>
        </w:rPr>
        <w:t xml:space="preserve">replications.</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deduplicated</w:t>
      </w:r>
      <w:r>
        <w:rPr>
          <w:rFonts w:ascii="Times New Roman" w:hAnsi="Times New Roman"/>
        </w:rPr>
        <w:t xml:space="preserve"> </w:t>
      </w:r>
      <w:r>
        <w:rPr>
          <w:rFonts w:ascii="Times New Roman" w:hAnsi="Times New Roman"/>
        </w:rPr>
        <w:t xml:space="preserve">analysis,</w:t>
      </w:r>
      <w:r>
        <w:rPr>
          <w:rFonts w:ascii="Times New Roman" w:hAnsi="Times New Roman"/>
        </w:rPr>
        <w:t xml:space="preserve"> </w:t>
      </w:r>
      <w:r>
        <w:rPr>
          <w:rFonts w:ascii="Times New Roman" w:hAnsi="Times New Roman"/>
        </w:rPr>
        <w:t xml:space="preserve">top-50</w:t>
      </w:r>
      <w:r>
        <w:rPr>
          <w:rFonts w:ascii="Times New Roman" w:hAnsi="Times New Roman"/>
        </w:rPr>
        <w:t xml:space="preserve"> </w:t>
      </w:r>
      <w:r>
        <w:rPr>
          <w:rFonts w:ascii="Times New Roman" w:hAnsi="Times New Roman"/>
        </w:rPr>
        <w:t xml:space="preserve">signatures</w:t>
      </w:r>
      <w:r>
        <w:rPr>
          <w:rFonts w:ascii="Times New Roman" w:hAnsi="Times New Roman"/>
        </w:rPr>
        <w:t xml:space="preserve"> </w:t>
      </w:r>
      <w:r>
        <w:rPr>
          <w:rFonts w:ascii="Times New Roman" w:hAnsi="Times New Roman"/>
        </w:rPr>
        <w:t xml:space="preserve">passed</w:t>
      </w:r>
      <w:r>
        <w:rPr>
          <w:rFonts w:ascii="Times New Roman" w:hAnsi="Times New Roman"/>
        </w:rPr>
        <w:t xml:space="preserve"> </w:t>
      </w:r>
      <w:r>
        <w:rPr>
          <w:rFonts w:ascii="Times New Roman" w:hAnsi="Times New Roman"/>
        </w:rPr>
        <w:t xml:space="preserve">an</w:t>
      </w:r>
      <w:r>
        <w:rPr>
          <w:rFonts w:ascii="Times New Roman" w:hAnsi="Times New Roman"/>
        </w:rPr>
        <w:t xml:space="preserve"> </w:t>
      </w:r>
      <w:r>
        <w:rPr>
          <w:rFonts w:ascii="Times New Roman" w:hAnsi="Times New Roman"/>
        </w:rPr>
        <w:t xml:space="preserve">empirical-null</w:t>
      </w:r>
      <w:r>
        <w:rPr>
          <w:rFonts w:ascii="Times New Roman" w:hAnsi="Times New Roman"/>
        </w:rPr>
        <w:t xml:space="preserve"> </w:t>
      </w:r>
      <w:r>
        <w:rPr>
          <w:rFonts w:ascii="Times New Roman" w:hAnsi="Times New Roman"/>
        </w:rPr>
        <w:t xml:space="preserve">sign</w:t>
      </w:r>
      <w:r>
        <w:rPr>
          <w:rFonts w:ascii="Times New Roman" w:hAnsi="Times New Roman"/>
        </w:rPr>
        <w:t xml:space="preserve"> </w:t>
      </w:r>
      <w:r>
        <w:rPr>
          <w:rFonts w:ascii="Times New Roman" w:hAnsi="Times New Roman"/>
        </w:rPr>
        <w:t xml:space="preserve">test</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polycystic</w:t>
      </w:r>
      <w:r>
        <w:rPr>
          <w:rFonts w:ascii="Times New Roman" w:hAnsi="Times New Roman"/>
        </w:rPr>
        <w:t xml:space="preserve"> </w:t>
      </w:r>
      <w:r>
        <w:rPr>
          <w:rFonts w:ascii="Times New Roman" w:hAnsi="Times New Roman"/>
        </w:rPr>
        <w:t xml:space="preserve">ovary</w:t>
      </w:r>
      <w:r>
        <w:rPr>
          <w:rFonts w:ascii="Times New Roman" w:hAnsi="Times New Roman"/>
        </w:rPr>
        <w:t xml:space="preserve"> </w:t>
      </w:r>
      <w:r>
        <w:rPr>
          <w:rFonts w:ascii="Times New Roman" w:hAnsi="Times New Roman"/>
        </w:rPr>
        <w:t xml:space="preserve">syndrome</w:t>
      </w:r>
      <w:r>
        <w:rPr>
          <w:rFonts w:ascii="Times New Roman" w:hAnsi="Times New Roman"/>
        </w:rPr>
        <w:t xml:space="preserve"> </w:t>
      </w:r>
      <w:r>
        <w:rPr>
          <w:rFonts w:ascii="Times New Roman" w:hAnsi="Times New Roman"/>
        </w:rPr>
        <w:t xml:space="preserve">(PCOS)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interstitial</w:t>
      </w:r>
      <w:r>
        <w:rPr>
          <w:rFonts w:ascii="Times New Roman" w:hAnsi="Times New Roman"/>
        </w:rPr>
        <w:t xml:space="preserve"> </w:t>
      </w:r>
      <w:r>
        <w:rPr>
          <w:rFonts w:ascii="Times New Roman" w:hAnsi="Times New Roman"/>
        </w:rPr>
        <w:t xml:space="preserve">cystitis,</w:t>
      </w:r>
      <w:r>
        <w:rPr>
          <w:rFonts w:ascii="Times New Roman" w:hAnsi="Times New Roman"/>
        </w:rPr>
        <w:t xml:space="preserve"> </w:t>
      </w:r>
      <w:r>
        <w:rPr>
          <w:rFonts w:ascii="Times New Roman" w:hAnsi="Times New Roman"/>
        </w:rPr>
        <w:t xml:space="preserve">though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latter</w:t>
      </w:r>
      <w:r>
        <w:rPr>
          <w:rFonts w:ascii="Times New Roman" w:hAnsi="Times New Roman"/>
        </w:rPr>
        <w:t xml:space="preserve"> </w:t>
      </w:r>
      <w:r>
        <w:rPr>
          <w:rFonts w:ascii="Times New Roman" w:hAnsi="Times New Roman"/>
        </w:rPr>
        <w:t xml:space="preserve">has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small</w:t>
      </w:r>
      <w:r>
        <w:rPr>
          <w:rFonts w:ascii="Times New Roman" w:hAnsi="Times New Roman"/>
        </w:rPr>
        <w:t xml:space="preserve"> </w:t>
      </w:r>
      <w:r>
        <w:rPr>
          <w:rFonts w:ascii="Times New Roman" w:hAnsi="Times New Roman"/>
        </w:rPr>
        <w:t xml:space="preserve">validation</w:t>
      </w:r>
      <w:r>
        <w:rPr>
          <w:rFonts w:ascii="Times New Roman" w:hAnsi="Times New Roman"/>
        </w:rPr>
        <w:t xml:space="preserve"> </w:t>
      </w:r>
      <w:r>
        <w:rPr>
          <w:rFonts w:ascii="Times New Roman" w:hAnsi="Times New Roman"/>
        </w:rPr>
        <w:t xml:space="preserve">cohort;</w:t>
      </w:r>
      <w:r>
        <w:rPr>
          <w:rFonts w:ascii="Times New Roman" w:hAnsi="Times New Roman"/>
        </w:rPr>
        <w:t xml:space="preserve"> </w:t>
      </w:r>
      <w:r>
        <w:rPr>
          <w:rFonts w:ascii="Times New Roman" w:hAnsi="Times New Roman"/>
        </w:rPr>
        <w:t xml:space="preserve">five</w:t>
      </w:r>
      <w:r>
        <w:rPr>
          <w:rFonts w:ascii="Times New Roman" w:hAnsi="Times New Roman"/>
        </w:rPr>
        <w:t xml:space="preserve"> </w:t>
      </w:r>
      <w:r>
        <w:rPr>
          <w:rFonts w:ascii="Times New Roman" w:hAnsi="Times New Roman"/>
        </w:rPr>
        <w:t xml:space="preserve">other</w:t>
      </w:r>
      <w:r>
        <w:rPr>
          <w:rFonts w:ascii="Times New Roman" w:hAnsi="Times New Roman"/>
        </w:rPr>
        <w:t xml:space="preserve"> </w:t>
      </w:r>
      <w:r>
        <w:rPr>
          <w:rFonts w:ascii="Times New Roman" w:hAnsi="Times New Roman"/>
        </w:rPr>
        <w:t xml:space="preserve">testable</w:t>
      </w:r>
      <w:r>
        <w:rPr>
          <w:rFonts w:ascii="Times New Roman" w:hAnsi="Times New Roman"/>
        </w:rPr>
        <w:t xml:space="preserve"> </w:t>
      </w:r>
      <w:r>
        <w:rPr>
          <w:rFonts w:ascii="Times New Roman" w:hAnsi="Times New Roman"/>
        </w:rPr>
        <w:t xml:space="preserve">disease</w:t>
      </w:r>
      <w:r>
        <w:rPr>
          <w:rFonts w:ascii="Times New Roman" w:hAnsi="Times New Roman"/>
        </w:rPr>
        <w:t xml:space="preserve"> </w:t>
      </w:r>
      <w:r>
        <w:rPr>
          <w:rFonts w:ascii="Times New Roman" w:hAnsi="Times New Roman"/>
        </w:rPr>
        <w:t xml:space="preserve">signatures</w:t>
      </w:r>
      <w:r>
        <w:rPr>
          <w:rFonts w:ascii="Times New Roman" w:hAnsi="Times New Roman"/>
        </w:rPr>
        <w:t xml:space="preserve"> </w:t>
      </w:r>
      <w:r>
        <w:rPr>
          <w:rFonts w:ascii="Times New Roman" w:hAnsi="Times New Roman"/>
        </w:rPr>
        <w:t xml:space="preserve">did</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pass.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named</w:t>
      </w:r>
      <w:r>
        <w:rPr>
          <w:rFonts w:ascii="Times New Roman" w:hAnsi="Times New Roman"/>
        </w:rPr>
        <w:t xml:space="preserve"> </w:t>
      </w:r>
      <w:r>
        <w:rPr>
          <w:rFonts w:ascii="Times New Roman" w:hAnsi="Times New Roman"/>
        </w:rPr>
        <w:t xml:space="preserve">preeclampsia</w:t>
      </w:r>
      <w:r>
        <w:rPr>
          <w:rFonts w:ascii="Times New Roman" w:hAnsi="Times New Roman"/>
        </w:rPr>
        <w:t xml:space="preserve"> </w:t>
      </w:r>
      <w:r>
        <w:rPr>
          <w:rFonts w:ascii="Times New Roman" w:hAnsi="Times New Roman"/>
        </w:rPr>
        <w:t xml:space="preserve">candidate,</w:t>
      </w:r>
      <w:r>
        <w:rPr>
          <w:rFonts w:ascii="Times New Roman" w:hAnsi="Times New Roman"/>
        </w:rPr>
        <w:t xml:space="preserve"> </w:t>
      </w:r>
      <w:r>
        <w:rPr>
          <w:rFonts w:ascii="Times New Roman" w:hAnsi="Times New Roman"/>
        </w:rPr>
        <w:t xml:space="preserve">GNG2,</w:t>
      </w:r>
      <w:r>
        <w:rPr>
          <w:rFonts w:ascii="Times New Roman" w:hAnsi="Times New Roman"/>
        </w:rPr>
        <w:t xml:space="preserve"> </w:t>
      </w:r>
      <w:r>
        <w:rPr>
          <w:rFonts w:ascii="Times New Roman" w:hAnsi="Times New Roman"/>
        </w:rPr>
        <w:t xml:space="preserve">did</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replicate.</w:t>
      </w:r>
      <w:r>
        <w:rPr>
          <w:rFonts w:ascii="Times New Roman" w:hAnsi="Times New Roman"/>
        </w:rPr>
        <w:t xml:space="preserve"> </w:t>
      </w:r>
      <w:r>
        <w:rPr>
          <w:rFonts w:ascii="Times New Roman" w:hAnsi="Times New Roman"/>
        </w:rPr>
        <w:t xml:space="preserve">Independent</w:t>
      </w:r>
      <w:r>
        <w:rPr>
          <w:rFonts w:ascii="Times New Roman" w:hAnsi="Times New Roman"/>
        </w:rPr>
        <w:t xml:space="preserve"> </w:t>
      </w:r>
      <w:r>
        <w:rPr>
          <w:rFonts w:ascii="Times New Roman" w:hAnsi="Times New Roman"/>
        </w:rPr>
        <w:t xml:space="preserve">fresh</w:t>
      </w:r>
      <w:r>
        <w:rPr>
          <w:rFonts w:ascii="Times New Roman" w:hAnsi="Times New Roman"/>
        </w:rPr>
        <w:t xml:space="preserve"> </w:t>
      </w:r>
      <w:r>
        <w:rPr>
          <w:rFonts w:ascii="Times New Roman" w:hAnsi="Times New Roman"/>
        </w:rPr>
        <w:t xml:space="preserve">RNA-seq</w:t>
      </w:r>
      <w:r>
        <w:rPr>
          <w:rFonts w:ascii="Times New Roman" w:hAnsi="Times New Roman"/>
        </w:rPr>
        <w:t xml:space="preserve"> </w:t>
      </w:r>
      <w:r>
        <w:rPr>
          <w:rFonts w:ascii="Times New Roman" w:hAnsi="Times New Roman"/>
        </w:rPr>
        <w:t xml:space="preserve">cohorts</w:t>
      </w:r>
      <w:r>
        <w:rPr>
          <w:rFonts w:ascii="Times New Roman" w:hAnsi="Times New Roman"/>
        </w:rPr>
        <w:t xml:space="preserve"> </w:t>
      </w:r>
      <w:r>
        <w:rPr>
          <w:rFonts w:ascii="Times New Roman" w:hAnsi="Times New Roman"/>
        </w:rPr>
        <w:t xml:space="preserve">falsified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directional</w:t>
      </w:r>
      <w:r>
        <w:rPr>
          <w:rFonts w:ascii="Times New Roman" w:hAnsi="Times New Roman"/>
        </w:rPr>
        <w:t xml:space="preserve"> </w:t>
      </w:r>
      <w:r>
        <w:rPr>
          <w:rFonts w:ascii="Times New Roman" w:hAnsi="Times New Roman"/>
        </w:rPr>
        <w:t xml:space="preserve">ST3GAL2</w:t>
      </w:r>
      <w:r>
        <w:rPr>
          <w:rFonts w:ascii="Times New Roman" w:hAnsi="Times New Roman"/>
        </w:rPr>
        <w:t xml:space="preserve"> </w:t>
      </w:r>
      <w:r>
        <w:rPr>
          <w:rFonts w:ascii="Times New Roman" w:hAnsi="Times New Roman"/>
        </w:rPr>
        <w:t xml:space="preserve">prediction.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held-out</w:t>
      </w:r>
      <w:r>
        <w:rPr>
          <w:rFonts w:ascii="Times New Roman" w:hAnsi="Times New Roman"/>
        </w:rPr>
        <w:t xml:space="preserve"> </w:t>
      </w:r>
      <w:r>
        <w:rPr>
          <w:rFonts w:ascii="Times New Roman" w:hAnsi="Times New Roman"/>
        </w:rPr>
        <w:t xml:space="preserve">cohort</w:t>
      </w:r>
      <w:r>
        <w:rPr>
          <w:rFonts w:ascii="Times New Roman" w:hAnsi="Times New Roman"/>
        </w:rPr>
        <w:t xml:space="preserve"> </w:t>
      </w:r>
      <w:r>
        <w:rPr>
          <w:rFonts w:ascii="Times New Roman" w:hAnsi="Times New Roman"/>
        </w:rPr>
        <w:t xml:space="preserve">convolutional</w:t>
      </w:r>
      <w:r>
        <w:rPr>
          <w:rFonts w:ascii="Times New Roman" w:hAnsi="Times New Roman"/>
        </w:rPr>
        <w:t xml:space="preserve"> </w:t>
      </w:r>
      <w:r>
        <w:rPr>
          <w:rFonts w:ascii="Times New Roman" w:hAnsi="Times New Roman"/>
        </w:rPr>
        <w:t xml:space="preserve">neural</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(CNN)</w:t>
      </w:r>
      <w:r>
        <w:rPr>
          <w:rFonts w:ascii="Times New Roman" w:hAnsi="Times New Roman"/>
        </w:rPr>
        <w:t xml:space="preserve"> </w:t>
      </w:r>
      <w:r>
        <w:rPr>
          <w:rFonts w:ascii="Times New Roman" w:hAnsi="Times New Roman"/>
        </w:rPr>
        <w:t xml:space="preserve">scored</w:t>
      </w:r>
      <w:r>
        <w:rPr>
          <w:rFonts w:ascii="Times New Roman" w:hAnsi="Times New Roman"/>
        </w:rPr>
        <w:t xml:space="preserve"> </w:t>
      </w:r>
      <w:r>
        <w:rPr>
          <w:rFonts w:ascii="Times New Roman" w:hAnsi="Times New Roman"/>
        </w:rPr>
        <w:t xml:space="preserve">below</w:t>
      </w:r>
      <w:r>
        <w:rPr>
          <w:rFonts w:ascii="Times New Roman" w:hAnsi="Times New Roman"/>
        </w:rPr>
        <w:t xml:space="preserve"> </w:t>
      </w:r>
      <w:r>
        <w:rPr>
          <w:rFonts w:ascii="Times New Roman" w:hAnsi="Times New Roman"/>
        </w:rPr>
        <w:t xml:space="preserve">logistic</w:t>
      </w:r>
      <w:r>
        <w:rPr>
          <w:rFonts w:ascii="Times New Roman" w:hAnsi="Times New Roman"/>
        </w:rPr>
        <w:t xml:space="preserve"> </w:t>
      </w:r>
      <w:r>
        <w:rPr>
          <w:rFonts w:ascii="Times New Roman" w:hAnsi="Times New Roman"/>
        </w:rPr>
        <w:t xml:space="preserve">regression</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average.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graph</w:t>
      </w:r>
      <w:r>
        <w:rPr>
          <w:rFonts w:ascii="Times New Roman" w:hAnsi="Times New Roman"/>
        </w:rPr>
        <w:t xml:space="preserve"> </w:t>
      </w:r>
      <w:r>
        <w:rPr>
          <w:rFonts w:ascii="Times New Roman" w:hAnsi="Times New Roman"/>
        </w:rPr>
        <w:t xml:space="preserve">neural</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(GNN)</w:t>
      </w:r>
      <w:r>
        <w:rPr>
          <w:rFonts w:ascii="Times New Roman" w:hAnsi="Times New Roman"/>
        </w:rPr>
        <w:t xml:space="preserve"> </w:t>
      </w:r>
      <w:r>
        <w:rPr>
          <w:rFonts w:ascii="Times New Roman" w:hAnsi="Times New Roman"/>
        </w:rPr>
        <w:t xml:space="preserve">benchmark</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within-project</w:t>
      </w:r>
      <w:r>
        <w:rPr>
          <w:rFonts w:ascii="Times New Roman" w:hAnsi="Times New Roman"/>
        </w:rPr>
        <w:t xml:space="preserve"> </w:t>
      </w:r>
      <w:r>
        <w:rPr>
          <w:rFonts w:ascii="Times New Roman" w:hAnsi="Times New Roman"/>
        </w:rPr>
        <w:t xml:space="preserve">only;</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published</w:t>
      </w:r>
      <w:r>
        <w:rPr>
          <w:rFonts w:ascii="Times New Roman" w:hAnsi="Times New Roman"/>
        </w:rPr>
        <w:t xml:space="preserve"> </w:t>
      </w:r>
      <w:r>
        <w:rPr>
          <w:rFonts w:ascii="Times New Roman" w:hAnsi="Times New Roman"/>
        </w:rPr>
        <w:t xml:space="preserve">state-of-the-art</w:t>
      </w:r>
      <w:r>
        <w:rPr>
          <w:rFonts w:ascii="Times New Roman" w:hAnsi="Times New Roman"/>
        </w:rPr>
        <w:t xml:space="preserve"> </w:t>
      </w:r>
      <w:r>
        <w:rPr>
          <w:rFonts w:ascii="Times New Roman" w:hAnsi="Times New Roman"/>
        </w:rPr>
        <w:t xml:space="preserve">comparison</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validated</w:t>
      </w:r>
      <w:r>
        <w:rPr>
          <w:rFonts w:ascii="Times New Roman" w:hAnsi="Times New Roman"/>
        </w:rPr>
        <w:t xml:space="preserve"> </w:t>
      </w:r>
      <w:r>
        <w:rPr>
          <w:rFonts w:ascii="Times New Roman" w:hAnsi="Times New Roman"/>
        </w:rPr>
        <w:t xml:space="preserve">new</w:t>
      </w:r>
      <w:r>
        <w:rPr>
          <w:rFonts w:ascii="Times New Roman" w:hAnsi="Times New Roman"/>
        </w:rPr>
        <w:t xml:space="preserve"> </w:t>
      </w:r>
      <w:r>
        <w:rPr>
          <w:rFonts w:ascii="Times New Roman" w:hAnsi="Times New Roman"/>
        </w:rPr>
        <w:t xml:space="preserve">biomarker</w:t>
      </w:r>
      <w:r>
        <w:rPr>
          <w:rFonts w:ascii="Times New Roman" w:hAnsi="Times New Roman"/>
        </w:rPr>
        <w:t xml:space="preserve"> </w:t>
      </w:r>
      <w:r>
        <w:rPr>
          <w:rFonts w:ascii="Times New Roman" w:hAnsi="Times New Roman"/>
        </w:rPr>
        <w:t xml:space="preserve">has</w:t>
      </w:r>
      <w:r>
        <w:rPr>
          <w:rFonts w:ascii="Times New Roman" w:hAnsi="Times New Roman"/>
        </w:rPr>
        <w:t xml:space="preserve"> </w:t>
      </w:r>
      <w:r>
        <w:rPr>
          <w:rFonts w:ascii="Times New Roman" w:hAnsi="Times New Roman"/>
        </w:rPr>
        <w:t xml:space="preserve">yet</w:t>
      </w:r>
      <w:r>
        <w:rPr>
          <w:rFonts w:ascii="Times New Roman" w:hAnsi="Times New Roman"/>
        </w:rPr>
        <w:t xml:space="preserve"> </w:t>
      </w:r>
      <w:r>
        <w:rPr>
          <w:rFonts w:ascii="Times New Roman" w:hAnsi="Times New Roman"/>
        </w:rPr>
        <w:t xml:space="preserve">been</w:t>
      </w:r>
      <w:r>
        <w:rPr>
          <w:rFonts w:ascii="Times New Roman" w:hAnsi="Times New Roman"/>
        </w:rPr>
        <w:t xml:space="preserve"> </w:t>
      </w:r>
      <w:r>
        <w:rPr>
          <w:rFonts w:ascii="Times New Roman" w:hAnsi="Times New Roman"/>
        </w:rPr>
        <w:t xml:space="preserve">established.</w:t>
      </w:r>
      <w:r>
        <w:rPr>
          <w:rFonts w:ascii="Times New Roman" w:hAnsi="Times New Roman"/>
        </w:rPr>
        <w:t xml:space="preserve"> </w:t>
      </w:r>
      <w:r>
        <w:rPr>
          <w:rFonts w:ascii="Times New Roman" w:hAnsi="Times New Roman"/>
        </w:rPr>
        <w:t xml:space="preserve">This</w:t>
      </w:r>
      <w:r>
        <w:rPr>
          <w:rFonts w:ascii="Times New Roman" w:hAnsi="Times New Roman"/>
        </w:rPr>
        <w:t xml:space="preserve"> </w:t>
      </w:r>
      <w:r>
        <w:rPr>
          <w:rFonts w:ascii="Times New Roman" w:hAnsi="Times New Roman"/>
        </w:rPr>
        <w:t xml:space="preserve">manuscript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working</w:t>
      </w:r>
      <w:r>
        <w:rPr>
          <w:rFonts w:ascii="Times New Roman" w:hAnsi="Times New Roman"/>
        </w:rPr>
        <w:t xml:space="preserve"> </w:t>
      </w:r>
      <w:r>
        <w:rPr>
          <w:rFonts w:ascii="Times New Roman" w:hAnsi="Times New Roman"/>
        </w:rPr>
        <w:t xml:space="preserve">report,</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clinical</w:t>
      </w:r>
      <w:r>
        <w:rPr>
          <w:rFonts w:ascii="Times New Roman" w:hAnsi="Times New Roman"/>
        </w:rPr>
        <w:t xml:space="preserve"> </w:t>
      </w:r>
      <w:r>
        <w:rPr>
          <w:rFonts w:ascii="Times New Roman" w:hAnsi="Times New Roman"/>
        </w:rPr>
        <w:t xml:space="preserve">test</w:t>
      </w:r>
      <w:r>
        <w:rPr>
          <w:rFonts w:ascii="Times New Roman" w:hAnsi="Times New Roman"/>
        </w:rPr>
        <w:t xml:space="preserve"> </w:t>
      </w:r>
      <w:r>
        <w:rPr>
          <w:rFonts w:ascii="Times New Roman" w:hAnsi="Times New Roman"/>
        </w:rPr>
        <w:t xml:space="preserve">claim.</w:t>
      </w:r>
    </w:p>
    <w:p>
      <w:pPr>
        <w:pStyle w:val="Heading1"/>
      </w:pPr>
      <w:bookmarkStart w:id="20" w:name="scope-and-reproducibility"/>
      <w:r>
        <w:rPr>
          <w:rFonts w:ascii="Times New Roman" w:hAnsi="Times New Roman"/>
        </w:rPr>
        <w:t xml:space="preserve">Scope and reproducibility</w:t>
      </w:r>
      <w:bookmarkEnd w:id="20"/>
    </w:p>
    <w:p>
      <w:pPr>
        <w:pStyle w:val="FirstParagraph"/>
      </w:pPr>
      <w:r>
        <w:rPr>
          <w:rFonts w:ascii="Times New Roman" w:hAnsi="Times New Roman"/>
        </w:rPr>
        <w:t xml:space="preserve">The repository contains a runnable Python command-line tool, hermetic tests, result tables, accession manifest, and the source for these figures. The ten per-disease completion gates are not met. The shared core has an inventory of 40 distinct external scientific services (the prior 40 mixed in nine local libraries and did not pass), 1,328 distinct fetched-and-used accession records (only 89 are GSE study accessions), and eleven displayed numbered formulas. The owner clarified that this is ten separate disease projects, each requiring its own 40 services, 120 records and 50 substantive research pages; shared counts do not satisfy any per-disease gate. There is still no externally comparable benchmark break or defensible new named discovery. The shared working Times PDF does not meet the owner’s revised fifty-page research-content floor for any separate disease project, even if the shared core alone reaches that length. A stricter research-body proxy counts 37 pages with at least 300 non-heading words in the current 49-page working PDF; this is an audit aid, not a substitute for inspecting substance and never proof of scientific validity. The check is in</w:t>
      </w:r>
      <w:r>
        <w:rPr>
          <w:rFonts w:ascii="Times New Roman" w:hAnsi="Times New Roman"/>
        </w:rPr>
        <w:t xml:space="preserve"> </w:t>
      </w:r>
      <w:r>
        <w:rPr>
          <w:rStyle w:val="VerbatimChar"/>
          <w:rFonts w:ascii="Times New Roman" w:hAnsi="Times New Roman"/>
        </w:rPr>
        <w:t xml:space="preserve">scripts/audit_research_body.py</w:t>
      </w:r>
      <w:r>
        <w:rPr>
          <w:rFonts w:ascii="Times New Roman" w:hAnsi="Times New Roman"/>
        </w:rPr>
        <w:t xml:space="preserve">. The 1,328-record tally follows the program’s record-level rule; it includes 1,202 GSM sample accessions, with newly audited P26/P27 libraries nested in their two GSE studies, including 32 twin placentas from just 16 pregnancies and 127 first plasma draws from one GSE; it is not 1,202 independent cohorts. The manifest’s unit is a unique accession-backed record, not a matrix of conditions counted several times. The twenty audited P26/P27 GSMs include six treated P26 libraries used only to verify the exclusion and sample mapping, not as extra cases or controls. The twenty-two P28 GSMs were individually fetched and mapped to count columns and disease/treatment labels. All 168 P29 GSMs were fetched individually and checked against count-column, title, phenotype, batch, site and sex metadata. All 57 P30 GSMs were separately fetched and checked against biopsy titles and labels. All 33 P31 GSMs were individually fetched, checked against blood-count column IDs, sex, cardiac stage and serostatus, and mapped to their single GSE study. The 25 P32 baseline muscle GSMs and their individual count files were fetched, checked against title, case/control status, unique patient token and exact count header, and mapped to one study. All 66 P34 T-cell-fraction GSMs were individually checked against their count columns, donor token and cell subset, but represent only 22 donors within one study. All 28 P35 GSMs were checked against normalized columns, deposited titles, disease design and treatment outcomes; they belong to a single GSE and are not independent study replications. All 103 P36 whole-blood GSMs were checked against exact raw-count columns and labels, but just 37 inferred person tokens enter the contrast; repeated timepoint libraries do not increase the patient count. All 47 P37 GSMs were checked against the targeted-panel workbook and group metadata, but belong to one study, not 47 independent cohorts. All 25 P38 sorted CD4 GSMs were matched to ten people and distinct fractions; only ten naive libraries enter the primary test. Seven P40 GSMs were checked against FPKM column, mid-proliferative phase and clinical group, and represent one small historical GSE, not seven cohorts. Twelve P41 GSMs represent six people sampled twice; only six baseline libraries entered the primary comparison. Seventeen P42 GSMs represent one GSE and eight pure-PE/healthy RNA libraries in the primary. Twelve P43 GSMs cover ten baseline neutrophil donors and two post-treatment repeats, not twelve independent people. Twelve P44 GSMs map to one archived placental series with six cases and six controls. Each GSE record was used; sample records are nested within their respective study, not extra cohorts. Individual P26/P27, P28, P29, P30, P31, P32, P34 and P35 accession-text checksums are in results/pcos_p26_p27_gsm_audit.csv, results/leish_p28_gsm_audit.csv, results/mecfs_p29_gsm_audit.csv and results/leish_p30_gsm_audit.csv and results/chagas_p31_gsm_audit.csv and results/mecfs_p32_samples.csv and results/endo_p34_samples.csv and results/leish_p35_samples.csv and results/longcovid_p36_gsm_audit.csv and results/longcovid_p37_samples.csv and results/longcovid_p38_samples.csv and results/endo_p40_samples.csv and results/mecfs_p41_samples.csv and results/pe_p42_samples.csv and results/fibro_p43_samples.csv and results/pe_p44_samples.csv. Counts are computed from the committed manifests. A later search found a usable long-COVID comparison in P36; the earlier search was incomplete, and P36 is not part of the original discovery split.</w:t>
      </w:r>
    </w:p>
    <w:p>
      <w:pPr>
        <w:pStyle w:val="Heading1"/>
      </w:pPr>
      <w:bookmarkStart w:id="21" w:name="data-acquisition-and-splits"/>
      <w:r>
        <w:rPr>
          <w:rFonts w:ascii="Times New Roman" w:hAnsi="Times New Roman"/>
        </w:rPr>
        <w:t xml:space="preserve">Data acquisition and splits</w:t>
      </w:r>
      <w:bookmarkEnd w:id="21"/>
    </w:p>
    <w:p>
      <w:pPr>
        <w:pStyle w:val="FirstParagraph"/>
      </w:pPr>
      <w:r>
        <w:rPr>
          <w:rFonts w:ascii="Times New Roman" w:hAnsi="Times New Roman"/>
        </w:rPr>
        <w:t xml:space="preserve">GEO array discovery uses NCBI E-utilities search and summary, GEO series-matrix FTP, and platform annotations. A separate BioStudies entry E-GEOD-4707 describes a 14-sample placental array design with early/late-onset groups and pooled normal reference; it is a study-context cross-check, not an additional held-out validation cohort (</w:t>
      </w:r>
      <w:hyperlink r:id="rId22">
        <w:r>
          <w:rPr>
            <w:rStyle w:val="Hyperlink"/>
          </w:rPr>
          <w:t xml:space="preserve">https://www.ebi.ac.uk/biostudies/api/v1/studies/E-GEOD-4707</w:t>
        </w:r>
      </w:hyperlink>
      <w:r>
        <w:rPr>
          <w:rFonts w:ascii="Times New Roman" w:hAnsi="Times New Roman"/>
        </w:rPr>
        <w:t xml:space="preserve">). RNA-seq matrices from GEO supplement files are processed separately. Cases and controls are assigned only from explicit sample metadata, not from accession titles alone. We retain the list of failed series and label audits. Samples appearing under identical GSM identifiers in GEO subseries or superseries are removed by a results-blind deterministic rule. In a pair with overlapping labeled GSMs, the smaller series is dropped; ties drop the higher accession. The final split is in</w:t>
      </w:r>
      <w:r>
        <w:rPr>
          <w:rFonts w:ascii="Times New Roman" w:hAnsi="Times New Roman"/>
        </w:rPr>
        <w:t xml:space="preserve"> </w:t>
      </w:r>
      <w:r>
        <w:rPr>
          <w:rStyle w:val="VerbatimChar"/>
          <w:rFonts w:ascii="Times New Roman" w:hAnsi="Times New Roman"/>
        </w:rPr>
        <w:t xml:space="preserve">results/split_final.csv</w:t>
      </w:r>
      <w:r>
        <w:rPr>
          <w:rFonts w:ascii="Times New Roman" w:hAnsi="Times New Roman"/>
        </w:rPr>
        <w:t xml:space="preserve">. This correction invalidates earlier apparent preeclampsia and leishmaniasis replication passes.</w:t>
      </w:r>
    </w:p>
    <w:p>
      <w:pPr>
        <w:pStyle w:val="Heading2"/>
      </w:pPr>
      <w:bookmarkStart w:id="23" w:name="X94b5d7e8d533b72db265540aea41348499e0f89"/>
      <w:r>
        <w:rPr>
          <w:rFonts w:ascii="Times New Roman" w:hAnsi="Times New Roman"/>
        </w:rPr>
        <w:t xml:space="preserve">Complete retained split and screening exclusions</w:t>
      </w:r>
      <w:bookmarkEnd w:id="23"/>
    </w:p>
    <w:p>
      <w:pPr>
        <w:pStyle w:val="FirstParagraph"/>
      </w:pPr>
      <w:r>
        <w:rPr>
          <w:rFonts w:ascii="Times New Roman" w:hAnsi="Times New Roman"/>
        </w:rPr>
        <w:t xml:space="preserve">The retained series are not evenly distributed. The next table reports every discovery and validation accession surviving the sample-identity deduplication; the PPD validation addendum is a separate row in its own locked file and is not accidentally treated as new P6 evidence. A split is a study-level assignment, not a guarantee that its samples generalize to another setting. This explicit list also allows a reader to find any series-level omission without reverse-engineering the figures. The excluded-series table records the confounds that defeated case/control interpretation even when an assay matrix existed.</w:t>
      </w:r>
    </w:p>
    <w:p>
      <w:pPr>
        <w:pStyle w:val="TableCaption"/>
      </w:pPr>
      <w:r>
        <w:rPr>
          <w:rFonts w:ascii="Times New Roman" w:hAnsi="Times New Roman"/>
        </w:rPr>
        <w:t xml:space="preserve">Deduplicated discovery and validation allocation. This is the full retained-series split, not an extra sample count. The distinct PPD GSE290313 validation addendum and fresh RNA-seq tests are described separately.</w:t>
      </w:r>
    </w:p>
    <w:tbl>
      <w:tblPr>
        <w:tblStyle w:val="Table"/>
        <w:tblW w:type="pct" w:w="0.0"/>
        <w:tblLayout w:type="fixed"/>
        <w:tblLook w:firstRow="1"/>
        <w:tblCaption w:val="Deduplicated discovery and validation allocation. This is the full retained-series split, not an extra sample count. The distinct PPD GSE290313 validation addendum and fresh RNA-seq tests are described separately."/>
      </w:tblPr>
      <w:tblGrid>
        <w:gridCol w:w="2906"/>
        <w:gridCol w:w="2062"/>
        <w:gridCol w:w="1406"/>
        <w:gridCol w:w="1500"/>
        <w:gridCol w:w="1500"/>
      </w:tblGrid>
      <w:tr>
        <w:trPr>
          <w:cnfStyle w:firstRow="1"/>
        </w:trPr>
        <w:tc>
          <w:tcPr>
            <w:tcW w:type="dxa" w:w="2906"/>
            <w:tcBorders>
              <w:bottom w:val="single"/>
            </w:tcBorders>
            <w:vAlign w:val="bottom"/>
          </w:tcPr>
          <w:p>
            <w:pPr>
              <w:pStyle w:val="Compact"/>
              <w:jc w:val="left"/>
            </w:pPr>
            <w:r>
              <w:rPr>
                <w:rFonts w:ascii="Times New Roman" w:hAnsi="Times New Roman"/>
                <w:sz w:val="17"/>
              </w:rPr>
              <w:t xml:space="preserve">Disease</w:t>
            </w:r>
          </w:p>
        </w:tc>
        <w:tc>
          <w:tcPr>
            <w:tcW w:type="dxa" w:w="2062"/>
            <w:tcBorders>
              <w:bottom w:val="single"/>
            </w:tcBorders>
            <w:vAlign w:val="bottom"/>
          </w:tcPr>
          <w:p>
            <w:pPr>
              <w:pStyle w:val="Compact"/>
              <w:jc w:val="left"/>
            </w:pPr>
            <w:r>
              <w:rPr>
                <w:rFonts w:ascii="Times New Roman" w:hAnsi="Times New Roman"/>
                <w:sz w:val="17"/>
              </w:rPr>
              <w:t xml:space="preserve">GEO</w:t>
            </w:r>
          </w:p>
        </w:tc>
        <w:tc>
          <w:tcPr>
            <w:tcW w:type="dxa" w:w="1406"/>
            <w:tcBorders>
              <w:bottom w:val="single"/>
            </w:tcBorders>
            <w:vAlign w:val="bottom"/>
          </w:tcPr>
          <w:p>
            <w:pPr>
              <w:pStyle w:val="Compact"/>
              <w:jc w:val="left"/>
            </w:pPr>
            <w:r>
              <w:rPr>
                <w:rFonts w:ascii="Times New Roman" w:hAnsi="Times New Roman"/>
                <w:sz w:val="17"/>
              </w:rPr>
              <w:t xml:space="preserve">Split</w:t>
            </w:r>
          </w:p>
        </w:tc>
        <w:tc>
          <w:tcPr>
            <w:tcW w:type="dxa" w:w="1500"/>
            <w:tcBorders>
              <w:bottom w:val="single"/>
            </w:tcBorders>
            <w:vAlign w:val="bottom"/>
          </w:tcPr>
          <w:p>
            <w:pPr>
              <w:pStyle w:val="Compact"/>
              <w:jc w:val="right"/>
            </w:pPr>
            <w:r>
              <w:rPr>
                <w:rFonts w:ascii="Times New Roman" w:hAnsi="Times New Roman"/>
                <w:sz w:val="17"/>
              </w:rPr>
              <w:t xml:space="preserve">Cases</w:t>
            </w:r>
          </w:p>
        </w:tc>
        <w:tc>
          <w:tcPr>
            <w:tcW w:type="dxa" w:w="1500"/>
            <w:tcBorders>
              <w:bottom w:val="single"/>
            </w:tcBorders>
            <w:vAlign w:val="bottom"/>
          </w:tcPr>
          <w:p>
            <w:pPr>
              <w:pStyle w:val="Compact"/>
              <w:jc w:val="right"/>
            </w:pPr>
            <w:r>
              <w:rPr>
                <w:rFonts w:ascii="Times New Roman" w:hAnsi="Times New Roman"/>
                <w:sz w:val="17"/>
              </w:rPr>
              <w:t xml:space="preserve">Controls</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GSE84796</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7</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GSE23339</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9</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GSE25628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8</w:t>
            </w:r>
          </w:p>
        </w:tc>
        <w:tc>
          <w:tcPr>
            <w:tcW w:type="dxa" w:w="1500"/>
          </w:tcPr>
          <w:p>
            <w:pPr>
              <w:pStyle w:val="Compact"/>
              <w:jc w:val="right"/>
            </w:pPr>
            <w:r>
              <w:rPr>
                <w:rFonts w:ascii="Times New Roman" w:hAnsi="Times New Roman"/>
                <w:sz w:val="17"/>
              </w:rPr>
              <w:t xml:space="preserve">14</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GSE35287</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28</w:t>
            </w:r>
          </w:p>
        </w:tc>
        <w:tc>
          <w:tcPr>
            <w:tcW w:type="dxa" w:w="1500"/>
          </w:tcPr>
          <w:p>
            <w:pPr>
              <w:pStyle w:val="Compact"/>
              <w:jc w:val="right"/>
            </w:pPr>
            <w:r>
              <w:rPr>
                <w:rFonts w:ascii="Times New Roman" w:hAnsi="Times New Roman"/>
                <w:sz w:val="17"/>
              </w:rPr>
              <w:t xml:space="preserve">40</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GSE47360</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6</w:t>
            </w:r>
          </w:p>
        </w:tc>
        <w:tc>
          <w:tcPr>
            <w:tcW w:type="dxa" w:w="1500"/>
          </w:tcPr>
          <w:p>
            <w:pPr>
              <w:pStyle w:val="Compact"/>
              <w:jc w:val="right"/>
            </w:pPr>
            <w:r>
              <w:rPr>
                <w:rFonts w:ascii="Times New Roman" w:hAnsi="Times New Roman"/>
                <w:sz w:val="17"/>
              </w:rPr>
              <w:t xml:space="preserve">3</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GSE51981</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77</w:t>
            </w:r>
          </w:p>
        </w:tc>
        <w:tc>
          <w:tcPr>
            <w:tcW w:type="dxa" w:w="1500"/>
          </w:tcPr>
          <w:p>
            <w:pPr>
              <w:pStyle w:val="Compact"/>
              <w:jc w:val="right"/>
            </w:pPr>
            <w:r>
              <w:rPr>
                <w:rFonts w:ascii="Times New Roman" w:hAnsi="Times New Roman"/>
                <w:sz w:val="17"/>
              </w:rPr>
              <w:t xml:space="preserve">71</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GSE6364</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21</w:t>
            </w:r>
          </w:p>
        </w:tc>
        <w:tc>
          <w:tcPr>
            <w:tcW w:type="dxa" w:w="1500"/>
          </w:tcPr>
          <w:p>
            <w:pPr>
              <w:pStyle w:val="Compact"/>
              <w:jc w:val="right"/>
            </w:pPr>
            <w:r>
              <w:rPr>
                <w:rFonts w:ascii="Times New Roman" w:hAnsi="Times New Roman"/>
                <w:sz w:val="17"/>
              </w:rPr>
              <w:t xml:space="preserve">16</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GSE7846</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5</w:t>
            </w:r>
          </w:p>
        </w:tc>
        <w:tc>
          <w:tcPr>
            <w:tcW w:type="dxa" w:w="1500"/>
          </w:tcPr>
          <w:p>
            <w:pPr>
              <w:pStyle w:val="Compact"/>
              <w:jc w:val="right"/>
            </w:pPr>
            <w:r>
              <w:rPr>
                <w:rFonts w:ascii="Times New Roman" w:hAnsi="Times New Roman"/>
                <w:sz w:val="17"/>
              </w:rPr>
              <w:t xml:space="preserve">5</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GSE120103</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18</w:t>
            </w:r>
          </w:p>
        </w:tc>
        <w:tc>
          <w:tcPr>
            <w:tcW w:type="dxa" w:w="1500"/>
          </w:tcPr>
          <w:p>
            <w:pPr>
              <w:pStyle w:val="Compact"/>
              <w:jc w:val="right"/>
            </w:pPr>
            <w:r>
              <w:rPr>
                <w:rFonts w:ascii="Times New Roman" w:hAnsi="Times New Roman"/>
                <w:sz w:val="17"/>
              </w:rPr>
              <w:t xml:space="preserve">18</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GSE248593</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6</w:t>
            </w:r>
          </w:p>
        </w:tc>
        <w:tc>
          <w:tcPr>
            <w:tcW w:type="dxa" w:w="1500"/>
          </w:tcPr>
          <w:p>
            <w:pPr>
              <w:pStyle w:val="Compact"/>
              <w:jc w:val="right"/>
            </w:pPr>
            <w:r>
              <w:rPr>
                <w:rFonts w:ascii="Times New Roman" w:hAnsi="Times New Roman"/>
                <w:sz w:val="17"/>
              </w:rPr>
              <w:t xml:space="preserve">6</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GSE58178</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6</w:t>
            </w:r>
          </w:p>
        </w:tc>
        <w:tc>
          <w:tcPr>
            <w:tcW w:type="dxa" w:w="1500"/>
          </w:tcPr>
          <w:p>
            <w:pPr>
              <w:pStyle w:val="Compact"/>
              <w:jc w:val="right"/>
            </w:pPr>
            <w:r>
              <w:rPr>
                <w:rFonts w:ascii="Times New Roman" w:hAnsi="Times New Roman"/>
                <w:sz w:val="17"/>
              </w:rPr>
              <w:t xml:space="preserve">6</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GSE73622</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22</w:t>
            </w:r>
          </w:p>
        </w:tc>
        <w:tc>
          <w:tcPr>
            <w:tcW w:type="dxa" w:w="1500"/>
          </w:tcPr>
          <w:p>
            <w:pPr>
              <w:pStyle w:val="Compact"/>
              <w:jc w:val="right"/>
            </w:pPr>
            <w:r>
              <w:rPr>
                <w:rFonts w:ascii="Times New Roman" w:hAnsi="Times New Roman"/>
                <w:sz w:val="17"/>
              </w:rPr>
              <w:t xml:space="preserve">28</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GSE67311</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67</w:t>
            </w:r>
          </w:p>
        </w:tc>
        <w:tc>
          <w:tcPr>
            <w:tcW w:type="dxa" w:w="1500"/>
          </w:tcPr>
          <w:p>
            <w:pPr>
              <w:pStyle w:val="Compact"/>
              <w:jc w:val="right"/>
            </w:pPr>
            <w:r>
              <w:rPr>
                <w:rFonts w:ascii="Times New Roman" w:hAnsi="Times New Roman"/>
                <w:sz w:val="17"/>
              </w:rPr>
              <w:t xml:space="preserve">75</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GSE11783</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6</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GSE621</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6</w:t>
            </w:r>
          </w:p>
        </w:tc>
        <w:tc>
          <w:tcPr>
            <w:tcW w:type="dxa" w:w="1500"/>
          </w:tcPr>
          <w:p>
            <w:pPr>
              <w:pStyle w:val="Compact"/>
              <w:jc w:val="right"/>
            </w:pPr>
            <w:r>
              <w:rPr>
                <w:rFonts w:ascii="Times New Roman" w:hAnsi="Times New Roman"/>
                <w:sz w:val="17"/>
              </w:rPr>
              <w:t xml:space="preserve">8</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GSE57560</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3</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GSE55664</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25</w:t>
            </w:r>
          </w:p>
        </w:tc>
        <w:tc>
          <w:tcPr>
            <w:tcW w:type="dxa" w:w="1500"/>
          </w:tcPr>
          <w:p>
            <w:pPr>
              <w:pStyle w:val="Compact"/>
              <w:jc w:val="right"/>
            </w:pPr>
            <w:r>
              <w:rPr>
                <w:rFonts w:ascii="Times New Roman" w:hAnsi="Times New Roman"/>
                <w:sz w:val="17"/>
              </w:rPr>
              <w:t xml:space="preserve">10</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GSE80008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18</w:t>
            </w:r>
          </w:p>
        </w:tc>
        <w:tc>
          <w:tcPr>
            <w:tcW w:type="dxa" w:w="1500"/>
          </w:tcPr>
          <w:p>
            <w:pPr>
              <w:pStyle w:val="Compact"/>
              <w:jc w:val="right"/>
            </w:pPr>
            <w:r>
              <w:rPr>
                <w:rFonts w:ascii="Times New Roman" w:hAnsi="Times New Roman"/>
                <w:sz w:val="17"/>
              </w:rPr>
              <w:t xml:space="preserve">12</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GSE125993</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29</w:t>
            </w:r>
          </w:p>
        </w:tc>
        <w:tc>
          <w:tcPr>
            <w:tcW w:type="dxa" w:w="1500"/>
          </w:tcPr>
          <w:p>
            <w:pPr>
              <w:pStyle w:val="Compact"/>
              <w:jc w:val="right"/>
            </w:pPr>
            <w:r>
              <w:rPr>
                <w:rFonts w:ascii="Times New Roman" w:hAnsi="Times New Roman"/>
                <w:sz w:val="17"/>
              </w:rPr>
              <w:t xml:space="preserve">16</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GSE14577-GPL96</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8</w:t>
            </w:r>
          </w:p>
        </w:tc>
        <w:tc>
          <w:tcPr>
            <w:tcW w:type="dxa" w:w="1500"/>
          </w:tcPr>
          <w:p>
            <w:pPr>
              <w:pStyle w:val="Compact"/>
              <w:jc w:val="right"/>
            </w:pPr>
            <w:r>
              <w:rPr>
                <w:rFonts w:ascii="Times New Roman" w:hAnsi="Times New Roman"/>
                <w:sz w:val="17"/>
              </w:rPr>
              <w:t xml:space="preserve">7</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GSE14577-GPL97</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8</w:t>
            </w:r>
          </w:p>
        </w:tc>
        <w:tc>
          <w:tcPr>
            <w:tcW w:type="dxa" w:w="1500"/>
          </w:tcPr>
          <w:p>
            <w:pPr>
              <w:pStyle w:val="Compact"/>
              <w:jc w:val="right"/>
            </w:pPr>
            <w:r>
              <w:rPr>
                <w:rFonts w:ascii="Times New Roman" w:hAnsi="Times New Roman"/>
                <w:sz w:val="17"/>
              </w:rPr>
              <w:t xml:space="preserve">7</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GSE16059</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32</w:t>
            </w:r>
          </w:p>
        </w:tc>
        <w:tc>
          <w:tcPr>
            <w:tcW w:type="dxa" w:w="1500"/>
          </w:tcPr>
          <w:p>
            <w:pPr>
              <w:pStyle w:val="Compact"/>
              <w:jc w:val="right"/>
            </w:pPr>
            <w:r>
              <w:rPr>
                <w:rFonts w:ascii="Times New Roman" w:hAnsi="Times New Roman"/>
                <w:sz w:val="17"/>
              </w:rPr>
              <w:t xml:space="preserve">44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GSE34526</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7</w:t>
            </w:r>
          </w:p>
        </w:tc>
        <w:tc>
          <w:tcPr>
            <w:tcW w:type="dxa" w:w="1500"/>
          </w:tcPr>
          <w:p>
            <w:pPr>
              <w:pStyle w:val="Compact"/>
              <w:jc w:val="right"/>
            </w:pPr>
            <w:r>
              <w:rPr>
                <w:rFonts w:ascii="Times New Roman" w:hAnsi="Times New Roman"/>
                <w:sz w:val="17"/>
              </w:rPr>
              <w:t xml:space="preserve">3</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GSE43322</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24</w:t>
            </w:r>
          </w:p>
        </w:tc>
        <w:tc>
          <w:tcPr>
            <w:tcW w:type="dxa" w:w="1500"/>
          </w:tcPr>
          <w:p>
            <w:pPr>
              <w:pStyle w:val="Compact"/>
              <w:jc w:val="right"/>
            </w:pPr>
            <w:r>
              <w:rPr>
                <w:rFonts w:ascii="Times New Roman" w:hAnsi="Times New Roman"/>
                <w:sz w:val="17"/>
              </w:rPr>
              <w:t xml:space="preserve">7</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GSE5090</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9</w:t>
            </w:r>
          </w:p>
        </w:tc>
        <w:tc>
          <w:tcPr>
            <w:tcW w:type="dxa" w:w="1500"/>
          </w:tcPr>
          <w:p>
            <w:pPr>
              <w:pStyle w:val="Compact"/>
              <w:jc w:val="right"/>
            </w:pPr>
            <w:r>
              <w:rPr>
                <w:rFonts w:ascii="Times New Roman" w:hAnsi="Times New Roman"/>
                <w:sz w:val="17"/>
              </w:rPr>
              <w:t xml:space="preserve">8</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GSE54248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GSE54250-GPL8979</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GSE6798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16</w:t>
            </w:r>
          </w:p>
        </w:tc>
        <w:tc>
          <w:tcPr>
            <w:tcW w:type="dxa" w:w="1500"/>
          </w:tcPr>
          <w:p>
            <w:pPr>
              <w:pStyle w:val="Compact"/>
              <w:jc w:val="right"/>
            </w:pPr>
            <w:r>
              <w:rPr>
                <w:rFonts w:ascii="Times New Roman" w:hAnsi="Times New Roman"/>
                <w:sz w:val="17"/>
              </w:rPr>
              <w:t xml:space="preserve">13</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GSE106724</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GSE124226</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GSE137684</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8</w:t>
            </w:r>
          </w:p>
        </w:tc>
        <w:tc>
          <w:tcPr>
            <w:tcW w:type="dxa" w:w="1500"/>
          </w:tcPr>
          <w:p>
            <w:pPr>
              <w:pStyle w:val="Compact"/>
              <w:jc w:val="right"/>
            </w:pPr>
            <w:r>
              <w:rPr>
                <w:rFonts w:ascii="Times New Roman" w:hAnsi="Times New Roman"/>
                <w:sz w:val="17"/>
              </w:rPr>
              <w:t xml:space="preserve">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GSE80432</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8</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GSE45603</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16</w:t>
            </w:r>
          </w:p>
        </w:tc>
        <w:tc>
          <w:tcPr>
            <w:tcW w:type="dxa" w:w="1500"/>
          </w:tcPr>
          <w:p>
            <w:pPr>
              <w:pStyle w:val="Compact"/>
              <w:jc w:val="right"/>
            </w:pPr>
            <w:r>
              <w:rPr>
                <w:rFonts w:ascii="Times New Roman" w:hAnsi="Times New Roman"/>
                <w:sz w:val="17"/>
              </w:rPr>
              <w:t xml:space="preserve">32</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GSE10588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17</w:t>
            </w:r>
          </w:p>
        </w:tc>
        <w:tc>
          <w:tcPr>
            <w:tcW w:type="dxa" w:w="1500"/>
          </w:tcPr>
          <w:p>
            <w:pPr>
              <w:pStyle w:val="Compact"/>
              <w:jc w:val="right"/>
            </w:pPr>
            <w:r>
              <w:rPr>
                <w:rFonts w:ascii="Times New Roman" w:hAnsi="Times New Roman"/>
                <w:sz w:val="17"/>
              </w:rPr>
              <w:t xml:space="preserve">26</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GSE24129</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8</w:t>
            </w:r>
          </w:p>
        </w:tc>
        <w:tc>
          <w:tcPr>
            <w:tcW w:type="dxa" w:w="1500"/>
          </w:tcPr>
          <w:p>
            <w:pPr>
              <w:pStyle w:val="Compact"/>
              <w:jc w:val="right"/>
            </w:pPr>
            <w:r>
              <w:rPr>
                <w:rFonts w:ascii="Times New Roman" w:hAnsi="Times New Roman"/>
                <w:sz w:val="17"/>
              </w:rPr>
              <w:t xml:space="preserve">8</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GSE25906</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23</w:t>
            </w:r>
          </w:p>
        </w:tc>
        <w:tc>
          <w:tcPr>
            <w:tcW w:type="dxa" w:w="1500"/>
          </w:tcPr>
          <w:p>
            <w:pPr>
              <w:pStyle w:val="Compact"/>
              <w:jc w:val="right"/>
            </w:pPr>
            <w:r>
              <w:rPr>
                <w:rFonts w:ascii="Times New Roman" w:hAnsi="Times New Roman"/>
                <w:sz w:val="17"/>
              </w:rPr>
              <w:t xml:space="preserve">37</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GSE30186</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6</w:t>
            </w:r>
          </w:p>
        </w:tc>
        <w:tc>
          <w:tcPr>
            <w:tcW w:type="dxa" w:w="1500"/>
          </w:tcPr>
          <w:p>
            <w:pPr>
              <w:pStyle w:val="Compact"/>
              <w:jc w:val="right"/>
            </w:pPr>
            <w:r>
              <w:rPr>
                <w:rFonts w:ascii="Times New Roman" w:hAnsi="Times New Roman"/>
                <w:sz w:val="17"/>
              </w:rPr>
              <w:t xml:space="preserve">6</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GSE35574</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19</w:t>
            </w:r>
          </w:p>
        </w:tc>
        <w:tc>
          <w:tcPr>
            <w:tcW w:type="dxa" w:w="1500"/>
          </w:tcPr>
          <w:p>
            <w:pPr>
              <w:pStyle w:val="Compact"/>
              <w:jc w:val="right"/>
            </w:pPr>
            <w:r>
              <w:rPr>
                <w:rFonts w:ascii="Times New Roman" w:hAnsi="Times New Roman"/>
                <w:sz w:val="17"/>
              </w:rPr>
              <w:t xml:space="preserve">40</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GSE43942</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5</w:t>
            </w:r>
          </w:p>
        </w:tc>
        <w:tc>
          <w:tcPr>
            <w:tcW w:type="dxa" w:w="1500"/>
          </w:tcPr>
          <w:p>
            <w:pPr>
              <w:pStyle w:val="Compact"/>
              <w:jc w:val="right"/>
            </w:pPr>
            <w:r>
              <w:rPr>
                <w:rFonts w:ascii="Times New Roman" w:hAnsi="Times New Roman"/>
                <w:sz w:val="17"/>
              </w:rPr>
              <w:t xml:space="preserve">7</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GSE48424</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18</w:t>
            </w:r>
          </w:p>
        </w:tc>
        <w:tc>
          <w:tcPr>
            <w:tcW w:type="dxa" w:w="1500"/>
          </w:tcPr>
          <w:p>
            <w:pPr>
              <w:pStyle w:val="Compact"/>
              <w:jc w:val="right"/>
            </w:pPr>
            <w:r>
              <w:rPr>
                <w:rFonts w:ascii="Times New Roman" w:hAnsi="Times New Roman"/>
                <w:sz w:val="17"/>
              </w:rPr>
              <w:t xml:space="preserve">18</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GSE54400</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35</w:t>
            </w:r>
          </w:p>
        </w:tc>
        <w:tc>
          <w:tcPr>
            <w:tcW w:type="dxa" w:w="1500"/>
          </w:tcPr>
          <w:p>
            <w:pPr>
              <w:pStyle w:val="Compact"/>
              <w:jc w:val="right"/>
            </w:pPr>
            <w:r>
              <w:rPr>
                <w:rFonts w:ascii="Times New Roman" w:hAnsi="Times New Roman"/>
                <w:sz w:val="17"/>
              </w:rPr>
              <w:t xml:space="preserve">9</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GSE54618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12</w:t>
            </w:r>
          </w:p>
        </w:tc>
        <w:tc>
          <w:tcPr>
            <w:tcW w:type="dxa" w:w="1500"/>
          </w:tcPr>
          <w:p>
            <w:pPr>
              <w:pStyle w:val="Compact"/>
              <w:jc w:val="right"/>
            </w:pPr>
            <w:r>
              <w:rPr>
                <w:rFonts w:ascii="Times New Roman" w:hAnsi="Times New Roman"/>
                <w:sz w:val="17"/>
              </w:rPr>
              <w:t xml:space="preserve">12</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GSE60438-GPL10558</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35</w:t>
            </w:r>
          </w:p>
        </w:tc>
        <w:tc>
          <w:tcPr>
            <w:tcW w:type="dxa" w:w="1500"/>
          </w:tcPr>
          <w:p>
            <w:pPr>
              <w:pStyle w:val="Compact"/>
              <w:jc w:val="right"/>
            </w:pPr>
            <w:r>
              <w:rPr>
                <w:rFonts w:ascii="Times New Roman" w:hAnsi="Times New Roman"/>
                <w:sz w:val="17"/>
              </w:rPr>
              <w:t xml:space="preserve">42</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GSE60438-GPL6884</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25</w:t>
            </w:r>
          </w:p>
        </w:tc>
        <w:tc>
          <w:tcPr>
            <w:tcW w:type="dxa" w:w="1500"/>
          </w:tcPr>
          <w:p>
            <w:pPr>
              <w:pStyle w:val="Compact"/>
              <w:jc w:val="right"/>
            </w:pPr>
            <w:r>
              <w:rPr>
                <w:rFonts w:ascii="Times New Roman" w:hAnsi="Times New Roman"/>
                <w:sz w:val="17"/>
              </w:rPr>
              <w:t xml:space="preserve">23</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GSE66273</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12</w:t>
            </w:r>
          </w:p>
        </w:tc>
        <w:tc>
          <w:tcPr>
            <w:tcW w:type="dxa" w:w="1500"/>
          </w:tcPr>
          <w:p>
            <w:pPr>
              <w:pStyle w:val="Compact"/>
              <w:jc w:val="right"/>
            </w:pPr>
            <w:r>
              <w:rPr>
                <w:rFonts w:ascii="Times New Roman" w:hAnsi="Times New Roman"/>
                <w:sz w:val="17"/>
              </w:rPr>
              <w:t xml:space="preserve">5</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GSE73374</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19</w:t>
            </w:r>
          </w:p>
        </w:tc>
        <w:tc>
          <w:tcPr>
            <w:tcW w:type="dxa" w:w="1500"/>
          </w:tcPr>
          <w:p>
            <w:pPr>
              <w:pStyle w:val="Compact"/>
              <w:jc w:val="right"/>
            </w:pPr>
            <w:r>
              <w:rPr>
                <w:rFonts w:ascii="Times New Roman" w:hAnsi="Times New Roman"/>
                <w:sz w:val="17"/>
              </w:rPr>
              <w:t xml:space="preserve">17</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GSE75010</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22</w:t>
            </w:r>
          </w:p>
        </w:tc>
        <w:tc>
          <w:tcPr>
            <w:tcW w:type="dxa" w:w="1500"/>
          </w:tcPr>
          <w:p>
            <w:pPr>
              <w:pStyle w:val="Compact"/>
              <w:jc w:val="right"/>
            </w:pPr>
            <w:r>
              <w:rPr>
                <w:rFonts w:ascii="Times New Roman" w:hAnsi="Times New Roman"/>
                <w:sz w:val="17"/>
              </w:rPr>
              <w:t xml:space="preserve">135</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GSE91189</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4</w:t>
            </w:r>
          </w:p>
        </w:tc>
        <w:tc>
          <w:tcPr>
            <w:tcW w:type="dxa" w:w="1500"/>
          </w:tcPr>
          <w:p>
            <w:pPr>
              <w:pStyle w:val="Compact"/>
              <w:jc w:val="right"/>
            </w:pPr>
            <w:r>
              <w:rPr>
                <w:rFonts w:ascii="Times New Roman" w:hAnsi="Times New Roman"/>
                <w:sz w:val="17"/>
              </w:rPr>
              <w:t xml:space="preserve">4</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GSE93839</w:t>
            </w:r>
          </w:p>
        </w:tc>
        <w:tc>
          <w:tcPr>
            <w:tcW w:type="dxa" w:w="1406"/>
          </w:tcPr>
          <w:p>
            <w:pPr>
              <w:pStyle w:val="Compact"/>
              <w:jc w:val="left"/>
            </w:pPr>
            <w:r>
              <w:rPr>
                <w:rFonts w:ascii="Times New Roman" w:hAnsi="Times New Roman"/>
                <w:sz w:val="17"/>
              </w:rPr>
              <w:t xml:space="preserve">discovery</w:t>
            </w:r>
          </w:p>
        </w:tc>
        <w:tc>
          <w:tcPr>
            <w:tcW w:type="dxa" w:w="1500"/>
          </w:tcPr>
          <w:p>
            <w:pPr>
              <w:pStyle w:val="Compact"/>
              <w:jc w:val="right"/>
            </w:pPr>
            <w:r>
              <w:rPr>
                <w:rFonts w:ascii="Times New Roman" w:hAnsi="Times New Roman"/>
                <w:sz w:val="17"/>
              </w:rPr>
              <w:t xml:space="preserve">11</w:t>
            </w:r>
          </w:p>
        </w:tc>
        <w:tc>
          <w:tcPr>
            <w:tcW w:type="dxa" w:w="1500"/>
          </w:tcPr>
          <w:p>
            <w:pPr>
              <w:pStyle w:val="Compact"/>
              <w:jc w:val="right"/>
            </w:pPr>
            <w:r>
              <w:rPr>
                <w:rFonts w:ascii="Times New Roman" w:hAnsi="Times New Roman"/>
                <w:sz w:val="17"/>
              </w:rPr>
              <w:t xml:space="preserve">12</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GSE147776</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13</w:t>
            </w:r>
          </w:p>
        </w:tc>
        <w:tc>
          <w:tcPr>
            <w:tcW w:type="dxa" w:w="1500"/>
          </w:tcPr>
          <w:p>
            <w:pPr>
              <w:pStyle w:val="Compact"/>
              <w:jc w:val="right"/>
            </w:pPr>
            <w:r>
              <w:rPr>
                <w:rFonts w:ascii="Times New Roman" w:hAnsi="Times New Roman"/>
                <w:sz w:val="17"/>
              </w:rPr>
              <w:t xml:space="preserve">8</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GSE149440</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66</w:t>
            </w:r>
          </w:p>
        </w:tc>
        <w:tc>
          <w:tcPr>
            <w:tcW w:type="dxa" w:w="1500"/>
          </w:tcPr>
          <w:p>
            <w:pPr>
              <w:pStyle w:val="Compact"/>
              <w:jc w:val="right"/>
            </w:pPr>
            <w:r>
              <w:rPr>
                <w:rFonts w:ascii="Times New Roman" w:hAnsi="Times New Roman"/>
                <w:sz w:val="17"/>
              </w:rPr>
              <w:t xml:space="preserve">314</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GSE186819</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12</w:t>
            </w:r>
          </w:p>
        </w:tc>
        <w:tc>
          <w:tcPr>
            <w:tcW w:type="dxa" w:w="1500"/>
          </w:tcPr>
          <w:p>
            <w:pPr>
              <w:pStyle w:val="Compact"/>
              <w:jc w:val="right"/>
            </w:pPr>
            <w:r>
              <w:rPr>
                <w:rFonts w:ascii="Times New Roman" w:hAnsi="Times New Roman"/>
                <w:sz w:val="17"/>
              </w:rPr>
              <w:t xml:space="preserve">13</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GSE190639</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6</w:t>
            </w:r>
          </w:p>
        </w:tc>
        <w:tc>
          <w:tcPr>
            <w:tcW w:type="dxa" w:w="1500"/>
          </w:tcPr>
          <w:p>
            <w:pPr>
              <w:pStyle w:val="Compact"/>
              <w:jc w:val="right"/>
            </w:pPr>
            <w:r>
              <w:rPr>
                <w:rFonts w:ascii="Times New Roman" w:hAnsi="Times New Roman"/>
                <w:sz w:val="17"/>
              </w:rPr>
              <w:t xml:space="preserve">13</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GSE94643</w:t>
            </w:r>
          </w:p>
        </w:tc>
        <w:tc>
          <w:tcPr>
            <w:tcW w:type="dxa" w:w="1406"/>
          </w:tcPr>
          <w:p>
            <w:pPr>
              <w:pStyle w:val="Compact"/>
              <w:jc w:val="left"/>
            </w:pPr>
            <w:r>
              <w:rPr>
                <w:rFonts w:ascii="Times New Roman" w:hAnsi="Times New Roman"/>
                <w:sz w:val="17"/>
              </w:rPr>
              <w:t xml:space="preserve">validation</w:t>
            </w:r>
          </w:p>
        </w:tc>
        <w:tc>
          <w:tcPr>
            <w:tcW w:type="dxa" w:w="1500"/>
          </w:tcPr>
          <w:p>
            <w:pPr>
              <w:pStyle w:val="Compact"/>
              <w:jc w:val="right"/>
            </w:pPr>
            <w:r>
              <w:rPr>
                <w:rFonts w:ascii="Times New Roman" w:hAnsi="Times New Roman"/>
                <w:sz w:val="17"/>
              </w:rPr>
              <w:t xml:space="preserve">8</w:t>
            </w:r>
          </w:p>
        </w:tc>
        <w:tc>
          <w:tcPr>
            <w:tcW w:type="dxa" w:w="1500"/>
          </w:tcPr>
          <w:p>
            <w:pPr>
              <w:pStyle w:val="Compact"/>
              <w:jc w:val="right"/>
            </w:pPr>
            <w:r>
              <w:rPr>
                <w:rFonts w:ascii="Times New Roman" w:hAnsi="Times New Roman"/>
                <w:sz w:val="17"/>
              </w:rPr>
              <w:t xml:space="preserve">8</w:t>
            </w:r>
          </w:p>
        </w:tc>
      </w:tr>
    </w:tbl>
    <w:p>
      <w:pPr>
        <w:pStyle w:val="TableCaption"/>
      </w:pPr>
      <w:r>
        <w:rPr>
          <w:rFonts w:ascii="Times New Roman" w:hAnsi="Times New Roman"/>
        </w:rPr>
        <w:t xml:space="preserve">All series excluded during case/control phenotype screening. The matrix being available does not make a matched patient case/control comparison.</w:t>
      </w:r>
    </w:p>
    <w:tbl>
      <w:tblPr>
        <w:tblStyle w:val="Table"/>
        <w:tblW w:type="pct" w:w="0.0"/>
        <w:tblLayout w:type="fixed"/>
        <w:tblLook w:firstRow="1"/>
        <w:tblCaption w:val="All series excluded during case/control phenotype screening. The matrix being available does not make a matched patient case/control comparison."/>
      </w:tblPr>
      <w:tblGrid>
        <w:gridCol w:w="2524"/>
        <w:gridCol w:w="2073"/>
        <w:gridCol w:w="4777"/>
      </w:tblGrid>
      <w:tr>
        <w:trPr>
          <w:cnfStyle w:firstRow="1"/>
        </w:trPr>
        <w:tc>
          <w:tcPr>
            <w:tcW w:type="dxa" w:w="2524"/>
            <w:tcBorders>
              <w:bottom w:val="single"/>
            </w:tcBorders>
            <w:vAlign w:val="bottom"/>
          </w:tcPr>
          <w:p>
            <w:pPr>
              <w:pStyle w:val="Compact"/>
              <w:jc w:val="left"/>
            </w:pPr>
            <w:r>
              <w:rPr>
                <w:rFonts w:ascii="Times New Roman" w:hAnsi="Times New Roman"/>
                <w:sz w:val="17"/>
              </w:rPr>
              <w:t xml:space="preserve">Disease</w:t>
            </w:r>
          </w:p>
        </w:tc>
        <w:tc>
          <w:tcPr>
            <w:tcW w:type="dxa" w:w="2073"/>
            <w:tcBorders>
              <w:bottom w:val="single"/>
            </w:tcBorders>
            <w:vAlign w:val="bottom"/>
          </w:tcPr>
          <w:p>
            <w:pPr>
              <w:pStyle w:val="Compact"/>
              <w:jc w:val="left"/>
            </w:pPr>
            <w:r>
              <w:rPr>
                <w:rFonts w:ascii="Times New Roman" w:hAnsi="Times New Roman"/>
                <w:sz w:val="17"/>
              </w:rPr>
              <w:t xml:space="preserve">GEO</w:t>
            </w:r>
          </w:p>
        </w:tc>
        <w:tc>
          <w:tcPr>
            <w:tcW w:type="dxa" w:w="4777"/>
            <w:tcBorders>
              <w:bottom w:val="single"/>
            </w:tcBorders>
            <w:vAlign w:val="bottom"/>
          </w:tcPr>
          <w:p>
            <w:pPr>
              <w:pStyle w:val="Compact"/>
              <w:jc w:val="left"/>
            </w:pPr>
            <w:r>
              <w:rPr>
                <w:rFonts w:ascii="Times New Roman" w:hAnsi="Times New Roman"/>
                <w:sz w:val="17"/>
              </w:rPr>
              <w:t xml:space="preserve">Exclusion reason</w:t>
            </w:r>
          </w:p>
        </w:tc>
      </w:tr>
      <w:tr>
        <w:tc>
          <w:tcPr>
            <w:tcW w:type="dxa" w:w="2524"/>
          </w:tcPr>
          <w:p>
            <w:pPr>
              <w:pStyle w:val="Compact"/>
              <w:jc w:val="left"/>
            </w:pPr>
            <w:r>
              <w:rPr>
                <w:rFonts w:ascii="Times New Roman" w:hAnsi="Times New Roman"/>
                <w:sz w:val="17"/>
              </w:rPr>
              <w:t xml:space="preserve">preeclampsia</w:t>
            </w:r>
          </w:p>
        </w:tc>
        <w:tc>
          <w:tcPr>
            <w:tcW w:type="dxa" w:w="2073"/>
          </w:tcPr>
          <w:p>
            <w:pPr>
              <w:pStyle w:val="Compact"/>
              <w:jc w:val="left"/>
            </w:pPr>
            <w:r>
              <w:rPr>
                <w:rFonts w:ascii="Times New Roman" w:hAnsi="Times New Roman"/>
                <w:sz w:val="17"/>
              </w:rPr>
              <w:t xml:space="preserve">GSE86200</w:t>
            </w:r>
          </w:p>
        </w:tc>
        <w:tc>
          <w:tcPr>
            <w:tcW w:type="dxa" w:w="4777"/>
          </w:tcPr>
          <w:p>
            <w:pPr>
              <w:pStyle w:val="Compact"/>
              <w:jc w:val="left"/>
            </w:pPr>
            <w:r>
              <w:rPr>
                <w:rFonts w:ascii="Times New Roman" w:hAnsi="Times New Roman"/>
                <w:sz w:val="17"/>
              </w:rPr>
              <w:t xml:space="preserve">vitamin D intervention vs control arm; not a preeclampsia contrast</w:t>
            </w:r>
          </w:p>
        </w:tc>
      </w:tr>
      <w:tr>
        <w:tc>
          <w:tcPr>
            <w:tcW w:type="dxa" w:w="2524"/>
          </w:tcPr>
          <w:p>
            <w:pPr>
              <w:pStyle w:val="Compact"/>
              <w:jc w:val="left"/>
            </w:pPr>
            <w:r>
              <w:rPr>
                <w:rFonts w:ascii="Times New Roman" w:hAnsi="Times New Roman"/>
                <w:sz w:val="17"/>
              </w:rPr>
              <w:t xml:space="preserve">preeclampsia</w:t>
            </w:r>
          </w:p>
        </w:tc>
        <w:tc>
          <w:tcPr>
            <w:tcW w:type="dxa" w:w="2073"/>
          </w:tcPr>
          <w:p>
            <w:pPr>
              <w:pStyle w:val="Compact"/>
              <w:jc w:val="left"/>
            </w:pPr>
            <w:r>
              <w:rPr>
                <w:rFonts w:ascii="Times New Roman" w:hAnsi="Times New Roman"/>
                <w:sz w:val="17"/>
              </w:rPr>
              <w:t xml:space="preserve">GSE25861</w:t>
            </w:r>
          </w:p>
        </w:tc>
        <w:tc>
          <w:tcPr>
            <w:tcW w:type="dxa" w:w="4777"/>
          </w:tcPr>
          <w:p>
            <w:pPr>
              <w:pStyle w:val="Compact"/>
              <w:jc w:val="left"/>
            </w:pPr>
            <w:r>
              <w:rPr>
                <w:rFonts w:ascii="Times New Roman" w:hAnsi="Times New Roman"/>
                <w:sz w:val="17"/>
              </w:rPr>
              <w:t xml:space="preserve">IUGR vs preterm-labour endothelial cells; no preeclampsia contrast</w:t>
            </w:r>
          </w:p>
        </w:tc>
      </w:tr>
      <w:tr>
        <w:tc>
          <w:tcPr>
            <w:tcW w:type="dxa" w:w="2524"/>
          </w:tcPr>
          <w:p>
            <w:pPr>
              <w:pStyle w:val="Compact"/>
              <w:jc w:val="left"/>
            </w:pPr>
            <w:r>
              <w:rPr>
                <w:rFonts w:ascii="Times New Roman" w:hAnsi="Times New Roman"/>
                <w:sz w:val="17"/>
              </w:rPr>
              <w:t xml:space="preserve">preeclampsia</w:t>
            </w:r>
          </w:p>
        </w:tc>
        <w:tc>
          <w:tcPr>
            <w:tcW w:type="dxa" w:w="2073"/>
          </w:tcPr>
          <w:p>
            <w:pPr>
              <w:pStyle w:val="Compact"/>
              <w:jc w:val="left"/>
            </w:pPr>
            <w:r>
              <w:rPr>
                <w:rFonts w:ascii="Times New Roman" w:hAnsi="Times New Roman"/>
                <w:sz w:val="17"/>
              </w:rPr>
              <w:t xml:space="preserve">GSE94644-GPL13497</w:t>
            </w:r>
          </w:p>
        </w:tc>
        <w:tc>
          <w:tcPr>
            <w:tcW w:type="dxa" w:w="4777"/>
          </w:tcPr>
          <w:p>
            <w:pPr>
              <w:pStyle w:val="Compact"/>
              <w:jc w:val="left"/>
            </w:pPr>
            <w:r>
              <w:rPr>
                <w:rFonts w:ascii="Times New Roman" w:hAnsi="Times New Roman"/>
                <w:sz w:val="17"/>
              </w:rPr>
              <w:t xml:space="preserve">case/control confounded with in-vitro decidualisation state</w:t>
            </w:r>
          </w:p>
        </w:tc>
      </w:tr>
      <w:tr>
        <w:tc>
          <w:tcPr>
            <w:tcW w:type="dxa" w:w="2524"/>
          </w:tcPr>
          <w:p>
            <w:pPr>
              <w:pStyle w:val="Compact"/>
              <w:jc w:val="left"/>
            </w:pPr>
            <w:r>
              <w:rPr>
                <w:rFonts w:ascii="Times New Roman" w:hAnsi="Times New Roman"/>
                <w:sz w:val="17"/>
              </w:rPr>
              <w:t xml:space="preserve">preeclampsia</w:t>
            </w:r>
          </w:p>
        </w:tc>
        <w:tc>
          <w:tcPr>
            <w:tcW w:type="dxa" w:w="2073"/>
          </w:tcPr>
          <w:p>
            <w:pPr>
              <w:pStyle w:val="Compact"/>
              <w:jc w:val="left"/>
            </w:pPr>
            <w:r>
              <w:rPr>
                <w:rFonts w:ascii="Times New Roman" w:hAnsi="Times New Roman"/>
                <w:sz w:val="17"/>
              </w:rPr>
              <w:t xml:space="preserve">GSE91077</w:t>
            </w:r>
          </w:p>
        </w:tc>
        <w:tc>
          <w:tcPr>
            <w:tcW w:type="dxa" w:w="4777"/>
          </w:tcPr>
          <w:p>
            <w:pPr>
              <w:pStyle w:val="Compact"/>
              <w:jc w:val="left"/>
            </w:pPr>
            <w:r>
              <w:rPr>
                <w:rFonts w:ascii="Times New Roman" w:hAnsi="Times New Roman"/>
                <w:sz w:val="17"/>
              </w:rPr>
              <w:t xml:space="preserve">case/control confounded with in-vitro decidualisation state</w:t>
            </w:r>
          </w:p>
        </w:tc>
      </w:tr>
      <w:tr>
        <w:tc>
          <w:tcPr>
            <w:tcW w:type="dxa" w:w="2524"/>
          </w:tcPr>
          <w:p>
            <w:pPr>
              <w:pStyle w:val="Compact"/>
              <w:jc w:val="left"/>
            </w:pPr>
            <w:r>
              <w:rPr>
                <w:rFonts w:ascii="Times New Roman" w:hAnsi="Times New Roman"/>
                <w:sz w:val="17"/>
              </w:rPr>
              <w:t xml:space="preserve">leishmaniasis</w:t>
            </w:r>
          </w:p>
        </w:tc>
        <w:tc>
          <w:tcPr>
            <w:tcW w:type="dxa" w:w="2073"/>
          </w:tcPr>
          <w:p>
            <w:pPr>
              <w:pStyle w:val="Compact"/>
              <w:jc w:val="left"/>
            </w:pPr>
            <w:r>
              <w:rPr>
                <w:rFonts w:ascii="Times New Roman" w:hAnsi="Times New Roman"/>
                <w:sz w:val="17"/>
              </w:rPr>
              <w:t xml:space="preserve">GSE77528</w:t>
            </w:r>
          </w:p>
        </w:tc>
        <w:tc>
          <w:tcPr>
            <w:tcW w:type="dxa" w:w="4777"/>
          </w:tcPr>
          <w:p>
            <w:pPr>
              <w:pStyle w:val="Compact"/>
              <w:jc w:val="left"/>
            </w:pPr>
            <w:r>
              <w:rPr>
                <w:rFonts w:ascii="Times New Roman" w:hAnsi="Times New Roman"/>
                <w:sz w:val="17"/>
              </w:rPr>
              <w:t xml:space="preserve">cases are post-treatment patients (months after antimony)</w:t>
            </w:r>
          </w:p>
        </w:tc>
      </w:tr>
      <w:tr>
        <w:tc>
          <w:tcPr>
            <w:tcW w:type="dxa" w:w="2524"/>
          </w:tcPr>
          <w:p>
            <w:pPr>
              <w:pStyle w:val="Compact"/>
              <w:jc w:val="left"/>
            </w:pPr>
            <w:r>
              <w:rPr>
                <w:rFonts w:ascii="Times New Roman" w:hAnsi="Times New Roman"/>
                <w:sz w:val="17"/>
              </w:rPr>
              <w:t xml:space="preserve">leishmaniasis</w:t>
            </w:r>
          </w:p>
        </w:tc>
        <w:tc>
          <w:tcPr>
            <w:tcW w:type="dxa" w:w="2073"/>
          </w:tcPr>
          <w:p>
            <w:pPr>
              <w:pStyle w:val="Compact"/>
              <w:jc w:val="left"/>
            </w:pPr>
            <w:r>
              <w:rPr>
                <w:rFonts w:ascii="Times New Roman" w:hAnsi="Times New Roman"/>
                <w:sz w:val="17"/>
              </w:rPr>
              <w:t xml:space="preserve">GSE43661</w:t>
            </w:r>
          </w:p>
        </w:tc>
        <w:tc>
          <w:tcPr>
            <w:tcW w:type="dxa" w:w="4777"/>
          </w:tcPr>
          <w:p>
            <w:pPr>
              <w:pStyle w:val="Compact"/>
              <w:jc w:val="left"/>
            </w:pPr>
            <w:r>
              <w:rPr>
                <w:rFonts w:ascii="Times New Roman" w:hAnsi="Times New Roman"/>
                <w:sz w:val="17"/>
              </w:rPr>
              <w:t xml:space="preserve">in-vitro macrophage infection model; not patient tissue</w:t>
            </w:r>
          </w:p>
        </w:tc>
      </w:tr>
      <w:tr>
        <w:tc>
          <w:tcPr>
            <w:tcW w:type="dxa" w:w="2524"/>
          </w:tcPr>
          <w:p>
            <w:pPr>
              <w:pStyle w:val="Compact"/>
              <w:jc w:val="left"/>
            </w:pPr>
            <w:r>
              <w:rPr>
                <w:rFonts w:ascii="Times New Roman" w:hAnsi="Times New Roman"/>
                <w:sz w:val="17"/>
              </w:rPr>
              <w:t xml:space="preserve">chagas</w:t>
            </w:r>
          </w:p>
        </w:tc>
        <w:tc>
          <w:tcPr>
            <w:tcW w:type="dxa" w:w="2073"/>
          </w:tcPr>
          <w:p>
            <w:pPr>
              <w:pStyle w:val="Compact"/>
              <w:jc w:val="left"/>
            </w:pPr>
            <w:r>
              <w:rPr>
                <w:rFonts w:ascii="Times New Roman" w:hAnsi="Times New Roman"/>
                <w:sz w:val="17"/>
              </w:rPr>
              <w:t xml:space="preserve">GSE128270</w:t>
            </w:r>
          </w:p>
        </w:tc>
        <w:tc>
          <w:tcPr>
            <w:tcW w:type="dxa" w:w="4777"/>
          </w:tcPr>
          <w:p>
            <w:pPr>
              <w:pStyle w:val="Compact"/>
              <w:jc w:val="left"/>
            </w:pPr>
            <w:r>
              <w:rPr>
                <w:rFonts w:ascii="Times New Roman" w:hAnsi="Times New Roman"/>
                <w:sz w:val="17"/>
              </w:rPr>
              <w:t xml:space="preserve">in-vitro HUVEC infection confounded with simvastatin pre-incubation</w:t>
            </w:r>
          </w:p>
        </w:tc>
      </w:tr>
      <w:tr>
        <w:tc>
          <w:tcPr>
            <w:tcW w:type="dxa" w:w="2524"/>
          </w:tcPr>
          <w:p>
            <w:pPr>
              <w:pStyle w:val="Compact"/>
              <w:jc w:val="left"/>
            </w:pPr>
            <w:r>
              <w:rPr>
                <w:rFonts w:ascii="Times New Roman" w:hAnsi="Times New Roman"/>
                <w:sz w:val="17"/>
              </w:rPr>
              <w:t xml:space="preserve">chagas</w:t>
            </w:r>
          </w:p>
        </w:tc>
        <w:tc>
          <w:tcPr>
            <w:tcW w:type="dxa" w:w="2073"/>
          </w:tcPr>
          <w:p>
            <w:pPr>
              <w:pStyle w:val="Compact"/>
              <w:jc w:val="left"/>
            </w:pPr>
            <w:r>
              <w:rPr>
                <w:rFonts w:ascii="Times New Roman" w:hAnsi="Times New Roman"/>
                <w:sz w:val="17"/>
              </w:rPr>
              <w:t xml:space="preserve">GSE13791</w:t>
            </w:r>
          </w:p>
        </w:tc>
        <w:tc>
          <w:tcPr>
            <w:tcW w:type="dxa" w:w="4777"/>
          </w:tcPr>
          <w:p>
            <w:pPr>
              <w:pStyle w:val="Compact"/>
              <w:jc w:val="left"/>
            </w:pPr>
            <w:r>
              <w:rPr>
                <w:rFonts w:ascii="Times New Roman" w:hAnsi="Times New Roman"/>
                <w:sz w:val="17"/>
              </w:rPr>
              <w:t xml:space="preserve">in-vitro smooth-muscle cell infection model; not patient tissue</w:t>
            </w:r>
          </w:p>
        </w:tc>
      </w:tr>
      <w:tr>
        <w:tc>
          <w:tcPr>
            <w:tcW w:type="dxa" w:w="2524"/>
          </w:tcPr>
          <w:p>
            <w:pPr>
              <w:pStyle w:val="Compact"/>
              <w:jc w:val="left"/>
            </w:pPr>
            <w:r>
              <w:rPr>
                <w:rFonts w:ascii="Times New Roman" w:hAnsi="Times New Roman"/>
                <w:sz w:val="17"/>
              </w:rPr>
              <w:t xml:space="preserve">pcos</w:t>
            </w:r>
          </w:p>
        </w:tc>
        <w:tc>
          <w:tcPr>
            <w:tcW w:type="dxa" w:w="2073"/>
          </w:tcPr>
          <w:p>
            <w:pPr>
              <w:pStyle w:val="Compact"/>
              <w:jc w:val="left"/>
            </w:pPr>
            <w:r>
              <w:rPr>
                <w:rFonts w:ascii="Times New Roman" w:hAnsi="Times New Roman"/>
                <w:sz w:val="17"/>
              </w:rPr>
              <w:t xml:space="preserve">GSE48301</w:t>
            </w:r>
          </w:p>
        </w:tc>
        <w:tc>
          <w:tcPr>
            <w:tcW w:type="dxa" w:w="4777"/>
          </w:tcPr>
          <w:p>
            <w:pPr>
              <w:pStyle w:val="Compact"/>
              <w:jc w:val="left"/>
            </w:pPr>
            <w:r>
              <w:rPr>
                <w:rFonts w:ascii="Times New Roman" w:hAnsi="Times New Roman"/>
                <w:sz w:val="17"/>
              </w:rPr>
              <w:t xml:space="preserve">case stromal vs control epithelial cells (cell-type confound)</w:t>
            </w:r>
          </w:p>
        </w:tc>
      </w:tr>
    </w:tbl>
    <w:p>
      <w:pPr>
        <w:pStyle w:val="Heading1"/>
      </w:pPr>
      <w:bookmarkStart w:id="24" w:name="effect-estimates-and-derivation"/>
      <w:r>
        <w:rPr>
          <w:rFonts w:ascii="Times New Roman" w:hAnsi="Times New Roman"/>
        </w:rPr>
        <w:t xml:space="preserve">Effect estimates and derivation</w:t>
      </w:r>
      <w:bookmarkEnd w:id="24"/>
    </w:p>
    <w:p>
      <w:pPr>
        <w:pStyle w:val="FirstParagraph"/>
      </w:pPr>
      <w:r>
        <w:rPr>
          <w:rFonts w:ascii="Times New Roman" w:hAnsi="Times New Roman"/>
        </w:rPr>
        <w:t xml:space="preserve">For cohort</w:t>
      </w:r>
      <w:r>
        <w:rPr>
          <w:rFonts w:ascii="Times New Roman" w:hAnsi="Times New Roman"/>
        </w:rPr>
        <w:t xml:space="preserve"> </w:t>
      </w:r>
      <w:r>
        <w:rPr>
          <w:rFonts w:ascii="Times New Roman" w:hAnsi="Times New Roman"/>
        </w:rPr>
        <w:drawing>
          <wp:inline>
            <wp:extent cx="54610" cy="54610"/>
            <wp:effectExtent b="0" l="0" r="0" t="0"/>
            <wp:docPr descr="image" title="" id="1" name="Picture"/>
            <a:graphic>
              <a:graphicData uri="http://schemas.openxmlformats.org/drawingml/2006/picture">
                <pic:pic>
                  <pic:nvPicPr>
                    <pic:cNvPr descr="equations/in001.png" id="0" name="Picture"/>
                    <pic:cNvPicPr>
                      <a:picLocks noChangeArrowheads="1" noChangeAspect="1"/>
                    </pic:cNvPicPr>
                  </pic:nvPicPr>
                  <pic:blipFill>
                    <a:blip r:embed="rId25"/>
                    <a:stretch>
                      <a:fillRect/>
                    </a:stretch>
                  </pic:blipFill>
                  <pic:spPr bwMode="auto">
                    <a:xfrm>
                      <a:off x="0" y="0"/>
                      <a:ext cx="54610" cy="5461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gene</w:t>
      </w:r>
      <w:r>
        <w:rPr>
          <w:rFonts w:ascii="Times New Roman" w:hAnsi="Times New Roman"/>
        </w:rPr>
        <w:t xml:space="preserve"> </w:t>
      </w:r>
      <w:r>
        <w:rPr>
          <w:rFonts w:ascii="Times New Roman" w:hAnsi="Times New Roman"/>
        </w:rPr>
        <w:drawing>
          <wp:inline>
            <wp:extent cx="64769" cy="77723"/>
            <wp:effectExtent b="0" l="0" r="0" t="0"/>
            <wp:docPr descr="image" title="" id="1" name="Picture"/>
            <a:graphic>
              <a:graphicData uri="http://schemas.openxmlformats.org/drawingml/2006/picture">
                <pic:pic>
                  <pic:nvPicPr>
                    <pic:cNvPr descr="equations/in002.png" id="0" name="Picture"/>
                    <pic:cNvPicPr>
                      <a:picLocks noChangeArrowheads="1" noChangeAspect="1"/>
                    </pic:cNvPicPr>
                  </pic:nvPicPr>
                  <pic:blipFill>
                    <a:blip r:embed="rId26"/>
                    <a:stretch>
                      <a:fillRect/>
                    </a:stretch>
                  </pic:blipFill>
                  <pic:spPr bwMode="auto">
                    <a:xfrm>
                      <a:off x="0" y="0"/>
                      <a:ext cx="64769" cy="77723"/>
                    </a:xfrm>
                    <a:prstGeom prst="rect">
                      <a:avLst/>
                    </a:prstGeom>
                    <a:noFill/>
                    <a:ln w="9525">
                      <a:noFill/>
                      <a:headEnd/>
                      <a:tailEnd/>
                    </a:ln>
                  </pic:spPr>
                </pic:pic>
              </a:graphicData>
            </a:graphic>
          </wp:inline>
        </w:drawing>
      </w:r>
      <w:r>
        <w:rPr>
          <w:rFonts w:ascii="Times New Roman" w:hAnsi="Times New Roman"/>
        </w:rPr>
        <w:t xml:space="preserve">, with</w:t>
      </w:r>
      <w:r>
        <w:rPr>
          <w:rFonts w:ascii="Times New Roman" w:hAnsi="Times New Roman"/>
        </w:rPr>
        <w:t xml:space="preserve"> </w:t>
      </w:r>
      <w:r>
        <w:rPr>
          <w:rFonts w:ascii="Times New Roman" w:hAnsi="Times New Roman"/>
        </w:rPr>
        <w:drawing>
          <wp:inline>
            <wp:extent cx="127000" cy="73741"/>
            <wp:effectExtent b="0" l="0" r="0" t="0"/>
            <wp:docPr descr="image" title="" id="1" name="Picture"/>
            <a:graphic>
              <a:graphicData uri="http://schemas.openxmlformats.org/drawingml/2006/picture">
                <pic:pic>
                  <pic:nvPicPr>
                    <pic:cNvPr descr="equations/in003.png" id="0" name="Picture"/>
                    <pic:cNvPicPr>
                      <a:picLocks noChangeArrowheads="1" noChangeAspect="1"/>
                    </pic:cNvPicPr>
                  </pic:nvPicPr>
                  <pic:blipFill>
                    <a:blip r:embed="rId27"/>
                    <a:stretch>
                      <a:fillRect/>
                    </a:stretch>
                  </pic:blipFill>
                  <pic:spPr bwMode="auto">
                    <a:xfrm>
                      <a:off x="0" y="0"/>
                      <a:ext cx="127000" cy="73741"/>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case samples and</w:t>
      </w:r>
      <w:r>
        <w:rPr>
          <w:rFonts w:ascii="Times New Roman" w:hAnsi="Times New Roman"/>
        </w:rPr>
        <w:t xml:space="preserve"> </w:t>
      </w:r>
      <w:r>
        <w:rPr>
          <w:rFonts w:ascii="Times New Roman" w:hAnsi="Times New Roman"/>
        </w:rPr>
        <w:drawing>
          <wp:inline>
            <wp:extent cx="127000" cy="73741"/>
            <wp:effectExtent b="0" l="0" r="0" t="0"/>
            <wp:docPr descr="image" title="" id="1" name="Picture"/>
            <a:graphic>
              <a:graphicData uri="http://schemas.openxmlformats.org/drawingml/2006/picture">
                <pic:pic>
                  <pic:nvPicPr>
                    <pic:cNvPr descr="equations/in004.png" id="0" name="Picture"/>
                    <pic:cNvPicPr>
                      <a:picLocks noChangeArrowheads="1" noChangeAspect="1"/>
                    </pic:cNvPicPr>
                  </pic:nvPicPr>
                  <pic:blipFill>
                    <a:blip r:embed="rId28"/>
                    <a:stretch>
                      <a:fillRect/>
                    </a:stretch>
                  </pic:blipFill>
                  <pic:spPr bwMode="auto">
                    <a:xfrm>
                      <a:off x="0" y="0"/>
                      <a:ext cx="127000" cy="73741"/>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controls, estimate the pooled sample variance as</w:t>
      </w:r>
    </w:p>
    <w:p>
      <w:pPr>
        <w:pStyle w:val="BodyText"/>
      </w:pPr>
      <w:r>
        <w:rPr>
          <w:rFonts w:ascii="Times New Roman" w:hAnsi="Times New Roman"/>
        </w:rPr>
        <w:drawing>
          <wp:inline>
            <wp:extent cx="2020570" cy="305529"/>
            <wp:effectExtent b="0" l="0" r="0" t="0"/>
            <wp:docPr descr="image" title="" id="1" name="Picture"/>
            <a:graphic>
              <a:graphicData uri="http://schemas.openxmlformats.org/drawingml/2006/picture">
                <pic:pic>
                  <pic:nvPicPr>
                    <pic:cNvPr descr="equations/eq01.png" id="0" name="Picture"/>
                    <pic:cNvPicPr>
                      <a:picLocks noChangeArrowheads="1" noChangeAspect="1"/>
                    </pic:cNvPicPr>
                  </pic:nvPicPr>
                  <pic:blipFill>
                    <a:blip r:embed="rId29"/>
                    <a:stretch>
                      <a:fillRect/>
                    </a:stretch>
                  </pic:blipFill>
                  <pic:spPr bwMode="auto">
                    <a:xfrm>
                      <a:off x="0" y="0"/>
                      <a:ext cx="2020570" cy="305529"/>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(1)</w:t>
      </w:r>
    </w:p>
    <w:p>
      <w:pPr>
        <w:pStyle w:val="BodyText"/>
      </w:pPr>
      <w:r>
        <w:rPr>
          <w:rFonts w:ascii="Times New Roman" w:hAnsi="Times New Roman"/>
        </w:rPr>
        <w:t xml:space="preserve">The standardized mean difference is</w:t>
      </w:r>
      <w:r>
        <w:rPr>
          <w:rFonts w:ascii="Times New Roman" w:hAnsi="Times New Roman"/>
        </w:rPr>
        <w:t xml:space="preserve"> </w:t>
      </w:r>
      <w:r>
        <w:rPr>
          <w:rFonts w:ascii="Times New Roman" w:hAnsi="Times New Roman"/>
        </w:rPr>
        <w:drawing>
          <wp:inline>
            <wp:extent cx="1408430" cy="126188"/>
            <wp:effectExtent b="0" l="0" r="0" t="0"/>
            <wp:docPr descr="image" title="" id="1" name="Picture"/>
            <a:graphic>
              <a:graphicData uri="http://schemas.openxmlformats.org/drawingml/2006/picture">
                <pic:pic>
                  <pic:nvPicPr>
                    <pic:cNvPr descr="equations/in005.png" id="0" name="Picture"/>
                    <pic:cNvPicPr>
                      <a:picLocks noChangeArrowheads="1" noChangeAspect="1"/>
                    </pic:cNvPicPr>
                  </pic:nvPicPr>
                  <pic:blipFill>
                    <a:blip r:embed="rId30"/>
                    <a:stretch>
                      <a:fillRect/>
                    </a:stretch>
                  </pic:blipFill>
                  <pic:spPr bwMode="auto">
                    <a:xfrm>
                      <a:off x="0" y="0"/>
                      <a:ext cx="1408430" cy="126188"/>
                    </a:xfrm>
                    <a:prstGeom prst="rect">
                      <a:avLst/>
                    </a:prstGeom>
                    <a:noFill/>
                    <a:ln w="9525">
                      <a:noFill/>
                      <a:headEnd/>
                      <a:tailEnd/>
                    </a:ln>
                  </pic:spPr>
                </pic:pic>
              </a:graphicData>
            </a:graphic>
          </wp:inline>
        </w:drawing>
      </w:r>
      <w:r>
        <w:rPr>
          <w:rFonts w:ascii="Times New Roman" w:hAnsi="Times New Roman"/>
        </w:rPr>
        <w:t xml:space="preserve">. We correct its small-sample bias with</w:t>
      </w:r>
      <w:r>
        <w:rPr>
          <w:rFonts w:ascii="Times New Roman" w:hAnsi="Times New Roman"/>
        </w:rPr>
        <w:t xml:space="preserve"> </w:t>
      </w:r>
      <w:r>
        <w:rPr>
          <w:rFonts w:ascii="Times New Roman" w:hAnsi="Times New Roman"/>
        </w:rPr>
        <w:drawing>
          <wp:inline>
            <wp:extent cx="1225550" cy="126640"/>
            <wp:effectExtent b="0" l="0" r="0" t="0"/>
            <wp:docPr descr="image" title="" id="1" name="Picture"/>
            <a:graphic>
              <a:graphicData uri="http://schemas.openxmlformats.org/drawingml/2006/picture">
                <pic:pic>
                  <pic:nvPicPr>
                    <pic:cNvPr descr="equations/in006.png" id="0" name="Picture"/>
                    <pic:cNvPicPr>
                      <a:picLocks noChangeArrowheads="1" noChangeAspect="1"/>
                    </pic:cNvPicPr>
                  </pic:nvPicPr>
                  <pic:blipFill>
                    <a:blip r:embed="rId31"/>
                    <a:stretch>
                      <a:fillRect/>
                    </a:stretch>
                  </pic:blipFill>
                  <pic:spPr bwMode="auto">
                    <a:xfrm>
                      <a:off x="0" y="0"/>
                      <a:ext cx="1225550" cy="126640"/>
                    </a:xfrm>
                    <a:prstGeom prst="rect">
                      <a:avLst/>
                    </a:prstGeom>
                    <a:noFill/>
                    <a:ln w="9525">
                      <a:noFill/>
                      <a:headEnd/>
                      <a:tailEnd/>
                    </a:ln>
                  </pic:spPr>
                </pic:pic>
              </a:graphicData>
            </a:graphic>
          </wp:inline>
        </w:drawing>
      </w:r>
      <w:r>
        <w:rPr>
          <w:rFonts w:ascii="Times New Roman" w:hAnsi="Times New Roman"/>
        </w:rPr>
        <w:t xml:space="preserve">:</w:t>
      </w:r>
    </w:p>
    <w:p>
      <w:pPr>
        <w:pStyle w:val="BodyText"/>
      </w:pPr>
      <w:r>
        <w:rPr>
          <w:rFonts w:ascii="Times New Roman" w:hAnsi="Times New Roman"/>
        </w:rPr>
        <w:drawing>
          <wp:inline>
            <wp:extent cx="1139190" cy="125675"/>
            <wp:effectExtent b="0" l="0" r="0" t="0"/>
            <wp:docPr descr="image" title="" id="1" name="Picture"/>
            <a:graphic>
              <a:graphicData uri="http://schemas.openxmlformats.org/drawingml/2006/picture">
                <pic:pic>
                  <pic:nvPicPr>
                    <pic:cNvPr descr="equations/eq02.png" id="0" name="Picture"/>
                    <pic:cNvPicPr>
                      <a:picLocks noChangeArrowheads="1" noChangeAspect="1"/>
                    </pic:cNvPicPr>
                  </pic:nvPicPr>
                  <pic:blipFill>
                    <a:blip r:embed="rId32"/>
                    <a:stretch>
                      <a:fillRect/>
                    </a:stretch>
                  </pic:blipFill>
                  <pic:spPr bwMode="auto">
                    <a:xfrm>
                      <a:off x="0" y="0"/>
                      <a:ext cx="1139190" cy="125675"/>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(2)</w:t>
      </w:r>
    </w:p>
    <w:p>
      <w:pPr>
        <w:pStyle w:val="BodyText"/>
      </w:pPr>
      <w:r>
        <w:rPr>
          <w:rFonts w:ascii="Times New Roman" w:hAnsi="Times New Roman"/>
        </w:rPr>
        <w:t xml:space="preserve">The plug-in within-study variance is</w:t>
      </w:r>
    </w:p>
    <w:p>
      <w:pPr>
        <w:pStyle w:val="BodyText"/>
      </w:pPr>
      <w:r>
        <w:rPr>
          <w:rFonts w:ascii="Times New Roman" w:hAnsi="Times New Roman"/>
        </w:rPr>
        <w:drawing>
          <wp:inline>
            <wp:extent cx="1586230" cy="317246"/>
            <wp:effectExtent b="0" l="0" r="0" t="0"/>
            <wp:docPr descr="image" title="" id="1" name="Picture"/>
            <a:graphic>
              <a:graphicData uri="http://schemas.openxmlformats.org/drawingml/2006/picture">
                <pic:pic>
                  <pic:nvPicPr>
                    <pic:cNvPr descr="equations/eq03.png" id="0" name="Picture"/>
                    <pic:cNvPicPr>
                      <a:picLocks noChangeArrowheads="1" noChangeAspect="1"/>
                    </pic:cNvPicPr>
                  </pic:nvPicPr>
                  <pic:blipFill>
                    <a:blip r:embed="rId33"/>
                    <a:stretch>
                      <a:fillRect/>
                    </a:stretch>
                  </pic:blipFill>
                  <pic:spPr bwMode="auto">
                    <a:xfrm>
                      <a:off x="0" y="0"/>
                      <a:ext cx="1586230" cy="317246"/>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(3)</w:t>
      </w:r>
    </w:p>
    <w:p>
      <w:pPr>
        <w:pStyle w:val="BodyText"/>
      </w:pPr>
      <w:r>
        <w:rPr>
          <w:rFonts w:ascii="Times New Roman" w:hAnsi="Times New Roman"/>
        </w:rPr>
        <w:t xml:space="preserve">These formulas follow by first pooling the two unbiased sample variance estimates using their residual degrees of freedom, then standardizing the case-control mean contrast, then multiplying by the first-order Hedges correction. For</w:t>
      </w:r>
      <w:r>
        <w:rPr>
          <w:rFonts w:ascii="Times New Roman" w:hAnsi="Times New Roman"/>
        </w:rPr>
        <w:t xml:space="preserve"> </w:t>
      </w:r>
      <w:r>
        <w:rPr>
          <w:rFonts w:ascii="Times New Roman" w:hAnsi="Times New Roman"/>
        </w:rPr>
        <w:drawing>
          <wp:inline>
            <wp:extent cx="69850" cy="81491"/>
            <wp:effectExtent b="0" l="0" r="0" t="0"/>
            <wp:docPr descr="image" title="" id="1" name="Picture"/>
            <a:graphic>
              <a:graphicData uri="http://schemas.openxmlformats.org/drawingml/2006/picture">
                <pic:pic>
                  <pic:nvPicPr>
                    <pic:cNvPr descr="equations/in007.png" id="0" name="Picture"/>
                    <pic:cNvPicPr>
                      <a:picLocks noChangeArrowheads="1" noChangeAspect="1"/>
                    </pic:cNvPicPr>
                  </pic:nvPicPr>
                  <pic:blipFill>
                    <a:blip r:embed="rId34"/>
                    <a:stretch>
                      <a:fillRect/>
                    </a:stretch>
                  </pic:blipFill>
                  <pic:spPr bwMode="auto">
                    <a:xfrm>
                      <a:off x="0" y="0"/>
                      <a:ext cx="69850" cy="81491"/>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studies of a gene, define inverse-variance fixed weights</w:t>
      </w:r>
      <w:r>
        <w:rPr>
          <w:rFonts w:ascii="Times New Roman" w:hAnsi="Times New Roman"/>
        </w:rPr>
        <w:t xml:space="preserve"> </w:t>
      </w:r>
      <w:r>
        <w:rPr>
          <w:rFonts w:ascii="Times New Roman" w:hAnsi="Times New Roman"/>
        </w:rPr>
        <w:drawing>
          <wp:inline>
            <wp:extent cx="506730" cy="137830"/>
            <wp:effectExtent b="0" l="0" r="0" t="0"/>
            <wp:docPr descr="image" title="" id="1" name="Picture"/>
            <a:graphic>
              <a:graphicData uri="http://schemas.openxmlformats.org/drawingml/2006/picture">
                <pic:pic>
                  <pic:nvPicPr>
                    <pic:cNvPr descr="equations/in008.png" id="0" name="Picture"/>
                    <pic:cNvPicPr>
                      <a:picLocks noChangeArrowheads="1" noChangeAspect="1"/>
                    </pic:cNvPicPr>
                  </pic:nvPicPr>
                  <pic:blipFill>
                    <a:blip r:embed="rId35"/>
                    <a:stretch>
                      <a:fillRect/>
                    </a:stretch>
                  </pic:blipFill>
                  <pic:spPr bwMode="auto">
                    <a:xfrm>
                      <a:off x="0" y="0"/>
                      <a:ext cx="506730" cy="13783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pooled fixed effect</w:t>
      </w:r>
      <w:r>
        <w:rPr>
          <w:rFonts w:ascii="Times New Roman" w:hAnsi="Times New Roman"/>
        </w:rPr>
        <w:t xml:space="preserve"> </w:t>
      </w:r>
      <w:r>
        <w:rPr>
          <w:rFonts w:ascii="Times New Roman" w:hAnsi="Times New Roman"/>
        </w:rPr>
        <w:drawing>
          <wp:inline>
            <wp:extent cx="1381760" cy="125984"/>
            <wp:effectExtent b="0" l="0" r="0" t="0"/>
            <wp:docPr descr="image" title="" id="1" name="Picture"/>
            <a:graphic>
              <a:graphicData uri="http://schemas.openxmlformats.org/drawingml/2006/picture">
                <pic:pic>
                  <pic:nvPicPr>
                    <pic:cNvPr descr="equations/in009.png" id="0" name="Picture"/>
                    <pic:cNvPicPr>
                      <a:picLocks noChangeArrowheads="1" noChangeAspect="1"/>
                    </pic:cNvPicPr>
                  </pic:nvPicPr>
                  <pic:blipFill>
                    <a:blip r:embed="rId36"/>
                    <a:stretch>
                      <a:fillRect/>
                    </a:stretch>
                  </pic:blipFill>
                  <pic:spPr bwMode="auto">
                    <a:xfrm>
                      <a:off x="0" y="0"/>
                      <a:ext cx="1381760" cy="125984"/>
                    </a:xfrm>
                    <a:prstGeom prst="rect">
                      <a:avLst/>
                    </a:prstGeom>
                    <a:noFill/>
                    <a:ln w="9525">
                      <a:noFill/>
                      <a:headEnd/>
                      <a:tailEnd/>
                    </a:ln>
                  </pic:spPr>
                </pic:pic>
              </a:graphicData>
            </a:graphic>
          </wp:inline>
        </w:drawing>
      </w:r>
      <w:r>
        <w:rPr>
          <w:rFonts w:ascii="Times New Roman" w:hAnsi="Times New Roman"/>
        </w:rPr>
        <w:t xml:space="preserve">. Cochran’s dispersion statistic is</w:t>
      </w:r>
    </w:p>
    <w:p>
      <w:pPr>
        <w:pStyle w:val="BodyText"/>
      </w:pPr>
      <w:r>
        <w:rPr>
          <w:rFonts w:ascii="Times New Roman" w:hAnsi="Times New Roman"/>
        </w:rPr>
        <w:drawing>
          <wp:inline>
            <wp:extent cx="1275080" cy="277902"/>
            <wp:effectExtent b="0" l="0" r="0" t="0"/>
            <wp:docPr descr="image" title="" id="1" name="Picture"/>
            <a:graphic>
              <a:graphicData uri="http://schemas.openxmlformats.org/drawingml/2006/picture">
                <pic:pic>
                  <pic:nvPicPr>
                    <pic:cNvPr descr="equations/eq04.png" id="0" name="Picture"/>
                    <pic:cNvPicPr>
                      <a:picLocks noChangeArrowheads="1" noChangeAspect="1"/>
                    </pic:cNvPicPr>
                  </pic:nvPicPr>
                  <pic:blipFill>
                    <a:blip r:embed="rId37"/>
                    <a:stretch>
                      <a:fillRect/>
                    </a:stretch>
                  </pic:blipFill>
                  <pic:spPr bwMode="auto">
                    <a:xfrm>
                      <a:off x="0" y="0"/>
                      <a:ext cx="1275080" cy="277902"/>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(4)</w:t>
      </w:r>
    </w:p>
    <w:p>
      <w:pPr>
        <w:pStyle w:val="BodyText"/>
      </w:pPr>
      <w:r>
        <w:rPr>
          <w:rFonts w:ascii="Times New Roman" w:hAnsi="Times New Roman"/>
        </w:rPr>
        <w:t xml:space="preserve">The DerSimonian–Laird moment estimator subtracts the</w:t>
      </w:r>
      <w:r>
        <w:rPr>
          <w:rFonts w:ascii="Times New Roman" w:hAnsi="Times New Roman"/>
        </w:rPr>
        <w:t xml:space="preserve"> </w:t>
      </w:r>
      <w:r>
        <w:rPr>
          <w:rFonts w:ascii="Times New Roman" w:hAnsi="Times New Roman"/>
        </w:rPr>
        <w:drawing>
          <wp:inline>
            <wp:extent cx="288290" cy="101510"/>
            <wp:effectExtent b="0" l="0" r="0" t="0"/>
            <wp:docPr descr="image" title="" id="1" name="Picture"/>
            <a:graphic>
              <a:graphicData uri="http://schemas.openxmlformats.org/drawingml/2006/picture">
                <pic:pic>
                  <pic:nvPicPr>
                    <pic:cNvPr descr="equations/in010.png" id="0" name="Picture"/>
                    <pic:cNvPicPr>
                      <a:picLocks noChangeArrowheads="1" noChangeAspect="1"/>
                    </pic:cNvPicPr>
                  </pic:nvPicPr>
                  <pic:blipFill>
                    <a:blip r:embed="rId38"/>
                    <a:stretch>
                      <a:fillRect/>
                    </a:stretch>
                  </pic:blipFill>
                  <pic:spPr bwMode="auto">
                    <a:xfrm>
                      <a:off x="0" y="0"/>
                      <a:ext cx="288290" cy="10151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expected dispersion under zero heterogeneity:</w:t>
      </w:r>
    </w:p>
    <w:p>
      <w:pPr>
        <w:pStyle w:val="BodyText"/>
      </w:pPr>
      <w:r>
        <w:rPr>
          <w:rFonts w:ascii="Times New Roman" w:hAnsi="Times New Roman"/>
        </w:rPr>
        <w:drawing>
          <wp:inline>
            <wp:extent cx="2240280" cy="305492"/>
            <wp:effectExtent b="0" l="0" r="0" t="0"/>
            <wp:docPr descr="image" title="" id="1" name="Picture"/>
            <a:graphic>
              <a:graphicData uri="http://schemas.openxmlformats.org/drawingml/2006/picture">
                <pic:pic>
                  <pic:nvPicPr>
                    <pic:cNvPr descr="equations/eq05.png" id="0" name="Picture"/>
                    <pic:cNvPicPr>
                      <a:picLocks noChangeArrowheads="1" noChangeAspect="1"/>
                    </pic:cNvPicPr>
                  </pic:nvPicPr>
                  <pic:blipFill>
                    <a:blip r:embed="rId39"/>
                    <a:stretch>
                      <a:fillRect/>
                    </a:stretch>
                  </pic:blipFill>
                  <pic:spPr bwMode="auto">
                    <a:xfrm>
                      <a:off x="0" y="0"/>
                      <a:ext cx="2240280" cy="305492"/>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(5)</w:t>
      </w:r>
    </w:p>
    <w:p>
      <w:pPr>
        <w:pStyle w:val="BodyText"/>
      </w:pPr>
      <w:r>
        <w:rPr>
          <w:rFonts w:ascii="Times New Roman" w:hAnsi="Times New Roman"/>
        </w:rPr>
        <w:t xml:space="preserve">Using</w:t>
      </w:r>
      <w:r>
        <w:rPr>
          <w:rFonts w:ascii="Times New Roman" w:hAnsi="Times New Roman"/>
        </w:rPr>
        <w:t xml:space="preserve"> </w:t>
      </w:r>
      <w:r>
        <w:rPr>
          <w:rFonts w:ascii="Times New Roman" w:hAnsi="Times New Roman"/>
        </w:rPr>
        <w:drawing>
          <wp:inline>
            <wp:extent cx="942340" cy="150937"/>
            <wp:effectExtent b="0" l="0" r="0" t="0"/>
            <wp:docPr descr="image" title="" id="1" name="Picture"/>
            <a:graphic>
              <a:graphicData uri="http://schemas.openxmlformats.org/drawingml/2006/picture">
                <pic:pic>
                  <pic:nvPicPr>
                    <pic:cNvPr descr="equations/in011.png" id="0" name="Picture"/>
                    <pic:cNvPicPr>
                      <a:picLocks noChangeArrowheads="1" noChangeAspect="1"/>
                    </pic:cNvPicPr>
                  </pic:nvPicPr>
                  <pic:blipFill>
                    <a:blip r:embed="rId40"/>
                    <a:stretch>
                      <a:fillRect/>
                    </a:stretch>
                  </pic:blipFill>
                  <pic:spPr bwMode="auto">
                    <a:xfrm>
                      <a:off x="0" y="0"/>
                      <a:ext cx="942340" cy="1509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yields the random-effects estimate and its normal-reference uncertainty:</w:t>
      </w:r>
    </w:p>
    <w:p>
      <w:pPr>
        <w:pStyle w:val="BodyText"/>
      </w:pPr>
      <w:r>
        <w:rPr>
          <w:rFonts w:ascii="Times New Roman" w:hAnsi="Times New Roman"/>
        </w:rPr>
        <w:drawing>
          <wp:inline>
            <wp:extent cx="2523490" cy="418549"/>
            <wp:effectExtent b="0" l="0" r="0" t="0"/>
            <wp:docPr descr="image" title="" id="1" name="Picture"/>
            <a:graphic>
              <a:graphicData uri="http://schemas.openxmlformats.org/drawingml/2006/picture">
                <pic:pic>
                  <pic:nvPicPr>
                    <pic:cNvPr descr="equations/eq06.png" id="0" name="Picture"/>
                    <pic:cNvPicPr>
                      <a:picLocks noChangeArrowheads="1" noChangeAspect="1"/>
                    </pic:cNvPicPr>
                  </pic:nvPicPr>
                  <pic:blipFill>
                    <a:blip r:embed="rId41"/>
                    <a:stretch>
                      <a:fillRect/>
                    </a:stretch>
                  </pic:blipFill>
                  <pic:spPr bwMode="auto">
                    <a:xfrm>
                      <a:off x="0" y="0"/>
                      <a:ext cx="2523490" cy="418549"/>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(6)</w:t>
      </w:r>
    </w:p>
    <w:p>
      <w:pPr>
        <w:pStyle w:val="BodyText"/>
      </w:pPr>
      <w:r>
        <w:rPr>
          <w:rFonts w:ascii="Times New Roman" w:hAnsi="Times New Roman"/>
        </w:rPr>
        <w:t xml:space="preserve">The heterogeneity fraction is truncated at zero to avoid negative estimates:</w:t>
      </w:r>
    </w:p>
    <w:p>
      <w:pPr>
        <w:pStyle w:val="BodyText"/>
      </w:pPr>
      <w:r>
        <w:rPr>
          <w:rFonts w:ascii="Times New Roman" w:hAnsi="Times New Roman"/>
        </w:rPr>
        <w:drawing>
          <wp:inline>
            <wp:extent cx="1643380" cy="305839"/>
            <wp:effectExtent b="0" l="0" r="0" t="0"/>
            <wp:docPr descr="image" title="" id="1" name="Picture"/>
            <a:graphic>
              <a:graphicData uri="http://schemas.openxmlformats.org/drawingml/2006/picture">
                <pic:pic>
                  <pic:nvPicPr>
                    <pic:cNvPr descr="equations/eq07.png" id="0" name="Picture"/>
                    <pic:cNvPicPr>
                      <a:picLocks noChangeArrowheads="1" noChangeAspect="1"/>
                    </pic:cNvPicPr>
                  </pic:nvPicPr>
                  <pic:blipFill>
                    <a:blip r:embed="rId42"/>
                    <a:stretch>
                      <a:fillRect/>
                    </a:stretch>
                  </pic:blipFill>
                  <pic:spPr bwMode="auto">
                    <a:xfrm>
                      <a:off x="0" y="0"/>
                      <a:ext cx="1643380" cy="305839"/>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(7)</w:t>
      </w:r>
    </w:p>
    <w:p>
      <w:pPr>
        <w:pStyle w:val="BodyText"/>
      </w:pPr>
      <w:r>
        <w:rPr>
          <w:rFonts w:ascii="Times New Roman" w:hAnsi="Times New Roman"/>
        </w:rPr>
        <w:t xml:space="preserve">A two-sided Wald test takes</w:t>
      </w:r>
      <w:r>
        <w:rPr>
          <w:rFonts w:ascii="Times New Roman" w:hAnsi="Times New Roman"/>
        </w:rPr>
        <w:t xml:space="preserve"> </w:t>
      </w:r>
      <w:r>
        <w:rPr>
          <w:rFonts w:ascii="Times New Roman" w:hAnsi="Times New Roman"/>
        </w:rPr>
        <w:drawing>
          <wp:inline>
            <wp:extent cx="895350" cy="125592"/>
            <wp:effectExtent b="0" l="0" r="0" t="0"/>
            <wp:docPr descr="image" title="" id="1" name="Picture"/>
            <a:graphic>
              <a:graphicData uri="http://schemas.openxmlformats.org/drawingml/2006/picture">
                <pic:pic>
                  <pic:nvPicPr>
                    <pic:cNvPr descr="equations/in012.png" id="0" name="Picture"/>
                    <pic:cNvPicPr>
                      <a:picLocks noChangeArrowheads="1" noChangeAspect="1"/>
                    </pic:cNvPicPr>
                  </pic:nvPicPr>
                  <pic:blipFill>
                    <a:blip r:embed="rId43"/>
                    <a:stretch>
                      <a:fillRect/>
                    </a:stretch>
                  </pic:blipFill>
                  <pic:spPr bwMode="auto">
                    <a:xfrm>
                      <a:off x="0" y="0"/>
                      <a:ext cx="895350" cy="12559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013.png" id="0" name="Picture"/>
                    <pic:cNvPicPr>
                      <a:picLocks noChangeArrowheads="1" noChangeAspect="1"/>
                    </pic:cNvPicPr>
                  </pic:nvPicPr>
                  <pic:blipFill>
                    <a:blip r:embed="rId44"/>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False discovery rate for</w:t>
      </w:r>
      <w:r>
        <w:rPr>
          <w:rFonts w:ascii="Times New Roman" w:hAnsi="Times New Roman"/>
        </w:rPr>
        <w:t xml:space="preserve"> </w:t>
      </w:r>
      <w:r>
        <w:rPr>
          <w:rFonts w:ascii="Times New Roman" w:hAnsi="Times New Roman"/>
        </w:rPr>
        <w:drawing>
          <wp:inline>
            <wp:extent cx="110489" cy="47352"/>
            <wp:effectExtent b="0" l="0" r="0" t="0"/>
            <wp:docPr descr="image" title="" id="1" name="Picture"/>
            <a:graphic>
              <a:graphicData uri="http://schemas.openxmlformats.org/drawingml/2006/picture">
                <pic:pic>
                  <pic:nvPicPr>
                    <pic:cNvPr descr="equations/in014.png" id="0" name="Picture"/>
                    <pic:cNvPicPr>
                      <a:picLocks noChangeArrowheads="1" noChangeAspect="1"/>
                    </pic:cNvPicPr>
                  </pic:nvPicPr>
                  <pic:blipFill>
                    <a:blip r:embed="rId45"/>
                    <a:stretch>
                      <a:fillRect/>
                    </a:stretch>
                  </pic:blipFill>
                  <pic:spPr bwMode="auto">
                    <a:xfrm>
                      <a:off x="0" y="0"/>
                      <a:ext cx="110489" cy="4735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ranked tests uses the backward minimum</w:t>
      </w:r>
    </w:p>
    <w:p>
      <w:pPr>
        <w:pStyle w:val="BodyText"/>
      </w:pPr>
      <w:r>
        <w:rPr>
          <w:rFonts w:ascii="Times New Roman" w:hAnsi="Times New Roman"/>
        </w:rPr>
        <w:drawing>
          <wp:inline>
            <wp:extent cx="1281430" cy="305102"/>
            <wp:effectExtent b="0" l="0" r="0" t="0"/>
            <wp:docPr descr="image" title="" id="1" name="Picture"/>
            <a:graphic>
              <a:graphicData uri="http://schemas.openxmlformats.org/drawingml/2006/picture">
                <pic:pic>
                  <pic:nvPicPr>
                    <pic:cNvPr descr="equations/eq08.png" id="0" name="Picture"/>
                    <pic:cNvPicPr>
                      <a:picLocks noChangeArrowheads="1" noChangeAspect="1"/>
                    </pic:cNvPicPr>
                  </pic:nvPicPr>
                  <pic:blipFill>
                    <a:blip r:embed="rId46"/>
                    <a:stretch>
                      <a:fillRect/>
                    </a:stretch>
                  </pic:blipFill>
                  <pic:spPr bwMode="auto">
                    <a:xfrm>
                      <a:off x="0" y="0"/>
                      <a:ext cx="1281430" cy="305102"/>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(8)</w:t>
      </w:r>
    </w:p>
    <w:p>
      <w:pPr>
        <w:pStyle w:val="BodyText"/>
      </w:pPr>
      <w:r>
        <w:rPr>
          <w:rFonts w:ascii="Times New Roman" w:hAnsi="Times New Roman"/>
        </w:rPr>
        <w:t xml:space="preserve">The backward minimum enforces monotonicity of adjusted values in sorted</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while</w:t>
      </w:r>
      <w:r>
        <w:rPr>
          <w:rFonts w:ascii="Times New Roman" w:hAnsi="Times New Roman"/>
        </w:rPr>
        <w:t xml:space="preserve"> </w:t>
      </w:r>
      <w:r>
        <w:rPr>
          <w:rFonts w:ascii="Times New Roman" w:hAnsi="Times New Roman"/>
        </w:rPr>
        <w:drawing>
          <wp:inline>
            <wp:extent cx="233679" cy="129358"/>
            <wp:effectExtent b="0" l="0" r="0" t="0"/>
            <wp:docPr descr="image" title="" id="1" name="Picture"/>
            <a:graphic>
              <a:graphicData uri="http://schemas.openxmlformats.org/drawingml/2006/picture">
                <pic:pic>
                  <pic:nvPicPr>
                    <pic:cNvPr descr="equations/in016.png" id="0" name="Picture"/>
                    <pic:cNvPicPr>
                      <a:picLocks noChangeArrowheads="1" noChangeAspect="1"/>
                    </pic:cNvPicPr>
                  </pic:nvPicPr>
                  <pic:blipFill>
                    <a:blip r:embed="rId48"/>
                    <a:stretch>
                      <a:fillRect/>
                    </a:stretch>
                  </pic:blipFill>
                  <pic:spPr bwMode="auto">
                    <a:xfrm>
                      <a:off x="0" y="0"/>
                      <a:ext cx="233679" cy="129358"/>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accounts for rank and family size. A single-cohort disease does not estimate between-cohort heterogeneity, irrespective of its many genes.</w:t>
      </w:r>
    </w:p>
    <w:p>
      <w:pPr>
        <w:pStyle w:val="Heading1"/>
      </w:pPr>
      <w:bookmarkStart w:id="49" w:name="graph-cnn-and-evaluation-design"/>
      <w:r>
        <w:rPr>
          <w:rFonts w:ascii="Times New Roman" w:hAnsi="Times New Roman"/>
        </w:rPr>
        <w:t xml:space="preserve">Graph, CNN and evaluation design</w:t>
      </w:r>
      <w:bookmarkEnd w:id="49"/>
    </w:p>
    <w:p>
      <w:pPr>
        <w:pStyle w:val="FirstParagraph"/>
      </w:pPr>
      <w:r>
        <w:rPr>
          <w:rFonts w:ascii="Times New Roman" w:hAnsi="Times New Roman"/>
        </w:rPr>
        <w:t xml:space="preserve">The gene network comes from STRING physical links; candidate labels use Open Targets non-expression evidence. Expression, graph degree and random-walk features feed GCN, SAGE, MLP, logistic, and propagation baselines. A gene’s label is kept out of its own fold’s training set. GCN uses symmetric graph normalization,</w:t>
      </w:r>
    </w:p>
    <w:p>
      <w:pPr>
        <w:pStyle w:val="BodyText"/>
      </w:pPr>
      <w:r>
        <w:rPr>
          <w:rFonts w:ascii="Times New Roman" w:hAnsi="Times New Roman"/>
        </w:rPr>
        <w:drawing>
          <wp:inline>
            <wp:extent cx="2936240" cy="150680"/>
            <wp:effectExtent b="0" l="0" r="0" t="0"/>
            <wp:docPr descr="image" title="" id="1" name="Picture"/>
            <a:graphic>
              <a:graphicData uri="http://schemas.openxmlformats.org/drawingml/2006/picture">
                <pic:pic>
                  <pic:nvPicPr>
                    <pic:cNvPr descr="equations/eq09.png" id="0" name="Picture"/>
                    <pic:cNvPicPr>
                      <a:picLocks noChangeArrowheads="1" noChangeAspect="1"/>
                    </pic:cNvPicPr>
                  </pic:nvPicPr>
                  <pic:blipFill>
                    <a:blip r:embed="rId50"/>
                    <a:stretch>
                      <a:fillRect/>
                    </a:stretch>
                  </pic:blipFill>
                  <pic:spPr bwMode="auto">
                    <a:xfrm>
                      <a:off x="0" y="0"/>
                      <a:ext cx="2936240" cy="150680"/>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(9)</w:t>
      </w:r>
    </w:p>
    <w:p>
      <w:pPr>
        <w:pStyle w:val="BodyText"/>
      </w:pPr>
      <w:r>
        <w:rPr>
          <w:rFonts w:ascii="Times New Roman" w:hAnsi="Times New Roman"/>
        </w:rPr>
        <w:t xml:space="preserve">The CNN classifier orders discovery-selected genes using a PPI Fiedler vector; random ordering is an ablation. Cohort-level z-scoring does not make cross-tissue prediction a valid clinical test. Per held-out validation cohort, ranking performance is</w:t>
      </w:r>
    </w:p>
    <w:p>
      <w:pPr>
        <w:pStyle w:val="BodyText"/>
      </w:pPr>
      <w:r>
        <w:rPr>
          <w:rFonts w:ascii="Times New Roman" w:hAnsi="Times New Roman"/>
        </w:rPr>
        <w:drawing>
          <wp:inline>
            <wp:extent cx="3159760" cy="150271"/>
            <wp:effectExtent b="0" l="0" r="0" t="0"/>
            <wp:docPr descr="image" title="" id="1" name="Picture"/>
            <a:graphic>
              <a:graphicData uri="http://schemas.openxmlformats.org/drawingml/2006/picture">
                <pic:pic>
                  <pic:nvPicPr>
                    <pic:cNvPr descr="equations/eq10.png" id="0" name="Picture"/>
                    <pic:cNvPicPr>
                      <a:picLocks noChangeArrowheads="1" noChangeAspect="1"/>
                    </pic:cNvPicPr>
                  </pic:nvPicPr>
                  <pic:blipFill>
                    <a:blip r:embed="rId51"/>
                    <a:stretch>
                      <a:fillRect/>
                    </a:stretch>
                  </pic:blipFill>
                  <pic:spPr bwMode="auto">
                    <a:xfrm>
                      <a:off x="0" y="0"/>
                      <a:ext cx="3159760" cy="150271"/>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(10)</w:t>
      </w:r>
    </w:p>
    <w:p>
      <w:pPr>
        <w:pStyle w:val="BodyText"/>
      </w:pPr>
      <w:r>
        <w:rPr>
          <w:rFonts w:ascii="Times New Roman" w:hAnsi="Times New Roman"/>
        </w:rPr>
        <w:t xml:space="preserve">This probabilistic definition explains why AUROC is insensitive to decision thresholds yet remains sensitive to shifts in score ordering. The GNN task is disease-specific gene recovery, not patient classification. A published drug–disease graph prediction AUROC cannot be compared numerically with our gene-ranking AUROC. KG-Bench (</w:t>
      </w:r>
      <w:hyperlink r:id="rId52">
        <w:r>
          <w:rPr>
            <w:rStyle w:val="Hyperlink"/>
          </w:rPr>
          <w:t xml:space="preserve">https://pmc.ncbi.nlm.nih.gov/articles/PMC13171177/</w:t>
        </w:r>
      </w:hyperlink>
      <w:r>
        <w:rPr>
          <w:rFonts w:ascii="Times New Roman" w:hAnsi="Times New Roman"/>
        </w:rPr>
        <w:t xml:space="preserve">; DOI</w:t>
      </w:r>
      <w:r>
        <w:rPr>
          <w:rFonts w:ascii="Times New Roman" w:hAnsi="Times New Roman"/>
        </w:rPr>
        <w:t xml:space="preserve"> </w:t>
      </w:r>
      <w:hyperlink r:id="rId53">
        <w:r>
          <w:rPr>
            <w:rStyle w:val="Hyperlink"/>
          </w:rPr>
          <w:t xml:space="preserve">https://doi.org/10.1093/bioinformatics/btag159</w:t>
        </w:r>
      </w:hyperlink>
      <w:r>
        <w:rPr>
          <w:rFonts w:ascii="Times New Roman" w:hAnsi="Times New Roman"/>
        </w:rPr>
        <w:t xml:space="preserve">) reports RGCN 0.908 on a temporal drug–disease association task; its targets and splits differ.</w:t>
      </w:r>
    </w:p>
    <w:p>
      <w:pPr>
        <w:pStyle w:val="Heading1"/>
      </w:pPr>
      <w:bookmarkStart w:id="54" w:name="deduplicated-results"/>
      <w:r>
        <w:rPr>
          <w:rFonts w:ascii="Times New Roman" w:hAnsi="Times New Roman"/>
        </w:rPr>
        <w:t xml:space="preserve">Deduplicated results</w:t>
      </w:r>
      <w:bookmarkEnd w:id="54"/>
    </w:p>
    <w:p>
      <w:pPr>
        <w:pStyle w:val="TableCaption"/>
      </w:pPr>
      <w:r>
        <w:rPr>
          <w:rFonts w:ascii="Times New Roman" w:hAnsi="Times New Roman"/>
        </w:rPr>
        <w:t xml:space="preserve">Deduplicated discovery summary, from results/meta_discovery_summary.csv.</w:t>
      </w:r>
    </w:p>
    <w:tbl>
      <w:tblPr>
        <w:tblStyle w:val="Table"/>
        <w:tblW w:type="pct" w:w="0.0"/>
        <w:tblLayout w:type="fixed"/>
        <w:tblLook w:firstRow="1"/>
        <w:tblCaption w:val="Deduplicated discovery summary, from results/meta_discovery_summary.csv."/>
      </w:tblPr>
      <w:tblGrid>
        <w:gridCol w:w="2906"/>
        <w:gridCol w:w="2062"/>
        <w:gridCol w:w="1406"/>
        <w:gridCol w:w="1500"/>
        <w:gridCol w:w="1500"/>
      </w:tblGrid>
      <w:tr>
        <w:trPr>
          <w:cnfStyle w:firstRow="1"/>
        </w:trPr>
        <w:tc>
          <w:tcPr>
            <w:tcW w:type="dxa" w:w="2906"/>
            <w:tcBorders>
              <w:bottom w:val="single"/>
            </w:tcBorders>
            <w:vAlign w:val="bottom"/>
          </w:tcPr>
          <w:p>
            <w:pPr>
              <w:pStyle w:val="Compact"/>
              <w:jc w:val="left"/>
            </w:pPr>
            <w:r>
              <w:rPr>
                <w:rFonts w:ascii="Times New Roman" w:hAnsi="Times New Roman"/>
                <w:sz w:val="17"/>
              </w:rPr>
              <w:t xml:space="preserve">Disease</w:t>
            </w:r>
          </w:p>
        </w:tc>
        <w:tc>
          <w:tcPr>
            <w:tcW w:type="dxa" w:w="2062"/>
            <w:tcBorders>
              <w:bottom w:val="single"/>
            </w:tcBorders>
            <w:vAlign w:val="bottom"/>
          </w:tcPr>
          <w:p>
            <w:pPr>
              <w:pStyle w:val="Compact"/>
              <w:jc w:val="right"/>
            </w:pPr>
            <w:r>
              <w:rPr>
                <w:rFonts w:ascii="Times New Roman" w:hAnsi="Times New Roman"/>
                <w:sz w:val="17"/>
              </w:rPr>
              <w:t xml:space="preserve">Cohorts</w:t>
            </w:r>
          </w:p>
        </w:tc>
        <w:tc>
          <w:tcPr>
            <w:tcW w:type="dxa" w:w="1406"/>
            <w:tcBorders>
              <w:bottom w:val="single"/>
            </w:tcBorders>
            <w:vAlign w:val="bottom"/>
          </w:tcPr>
          <w:p>
            <w:pPr>
              <w:pStyle w:val="Compact"/>
              <w:jc w:val="right"/>
            </w:pPr>
            <w:r>
              <w:rPr>
                <w:rFonts w:ascii="Times New Roman" w:hAnsi="Times New Roman"/>
                <w:sz w:val="17"/>
              </w:rPr>
              <w:t xml:space="preserve">Cases</w:t>
            </w:r>
          </w:p>
        </w:tc>
        <w:tc>
          <w:tcPr>
            <w:tcW w:type="dxa" w:w="1500"/>
            <w:tcBorders>
              <w:bottom w:val="single"/>
            </w:tcBorders>
            <w:vAlign w:val="bottom"/>
          </w:tcPr>
          <w:p>
            <w:pPr>
              <w:pStyle w:val="Compact"/>
              <w:jc w:val="right"/>
            </w:pPr>
            <w:r>
              <w:rPr>
                <w:rFonts w:ascii="Times New Roman" w:hAnsi="Times New Roman"/>
                <w:sz w:val="17"/>
              </w:rPr>
              <w:t xml:space="preserve">Controls</w:t>
            </w:r>
          </w:p>
        </w:tc>
        <w:tc>
          <w:tcPr>
            <w:tcW w:type="dxa" w:w="1500"/>
            <w:tcBorders>
              <w:bottom w:val="single"/>
            </w:tcBorders>
            <w:vAlign w:val="bottom"/>
          </w:tcPr>
          <w:p>
            <w:pPr>
              <w:pStyle w:val="Compact"/>
              <w:jc w:val="right"/>
            </w:pPr>
            <w:r>
              <w:rPr>
                <w:rFonts w:ascii="Times New Roman" w:hAnsi="Times New Roman"/>
                <w:sz w:val="17"/>
              </w:rPr>
              <w:t xml:space="preserve">q&lt;0.05 genes</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right"/>
            </w:pPr>
            <w:r>
              <w:rPr>
                <w:rFonts w:ascii="Times New Roman" w:hAnsi="Times New Roman"/>
                <w:sz w:val="17"/>
              </w:rPr>
              <w:t xml:space="preserve">1</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7</w:t>
            </w:r>
          </w:p>
        </w:tc>
        <w:tc>
          <w:tcPr>
            <w:tcW w:type="dxa" w:w="1500"/>
          </w:tcPr>
          <w:p>
            <w:pPr>
              <w:pStyle w:val="Compact"/>
              <w:jc w:val="right"/>
            </w:pPr>
            <w:r>
              <w:rPr>
                <w:rFonts w:ascii="Times New Roman" w:hAnsi="Times New Roman"/>
                <w:sz w:val="17"/>
              </w:rPr>
              <w:t xml:space="preserve">2287</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right"/>
            </w:pPr>
            <w:r>
              <w:rPr>
                <w:rFonts w:ascii="Times New Roman" w:hAnsi="Times New Roman"/>
                <w:sz w:val="17"/>
              </w:rPr>
              <w:t xml:space="preserve">7</w:t>
            </w:r>
          </w:p>
        </w:tc>
        <w:tc>
          <w:tcPr>
            <w:tcW w:type="dxa" w:w="1406"/>
          </w:tcPr>
          <w:p>
            <w:pPr>
              <w:pStyle w:val="Compact"/>
              <w:jc w:val="right"/>
            </w:pPr>
            <w:r>
              <w:rPr>
                <w:rFonts w:ascii="Times New Roman" w:hAnsi="Times New Roman"/>
                <w:sz w:val="17"/>
              </w:rPr>
              <w:t xml:space="preserve">155</w:t>
            </w:r>
          </w:p>
        </w:tc>
        <w:tc>
          <w:tcPr>
            <w:tcW w:type="dxa" w:w="1500"/>
          </w:tcPr>
          <w:p>
            <w:pPr>
              <w:pStyle w:val="Compact"/>
              <w:jc w:val="right"/>
            </w:pPr>
            <w:r>
              <w:rPr>
                <w:rFonts w:ascii="Times New Roman" w:hAnsi="Times New Roman"/>
                <w:sz w:val="17"/>
              </w:rPr>
              <w:t xml:space="preserve">158</w:t>
            </w:r>
          </w:p>
        </w:tc>
        <w:tc>
          <w:tcPr>
            <w:tcW w:type="dxa" w:w="1500"/>
          </w:tcPr>
          <w:p>
            <w:pPr>
              <w:pStyle w:val="Compact"/>
              <w:jc w:val="right"/>
            </w:pPr>
            <w:r>
              <w:rPr>
                <w:rFonts w:ascii="Times New Roman" w:hAnsi="Times New Roman"/>
                <w:sz w:val="17"/>
              </w:rPr>
              <w:t xml:space="preserve">1172</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right"/>
            </w:pPr>
            <w:r>
              <w:rPr>
                <w:rFonts w:ascii="Times New Roman" w:hAnsi="Times New Roman"/>
                <w:sz w:val="17"/>
              </w:rPr>
              <w:t xml:space="preserve">1</w:t>
            </w:r>
          </w:p>
        </w:tc>
        <w:tc>
          <w:tcPr>
            <w:tcW w:type="dxa" w:w="1406"/>
          </w:tcPr>
          <w:p>
            <w:pPr>
              <w:pStyle w:val="Compact"/>
              <w:jc w:val="right"/>
            </w:pPr>
            <w:r>
              <w:rPr>
                <w:rFonts w:ascii="Times New Roman" w:hAnsi="Times New Roman"/>
                <w:sz w:val="17"/>
              </w:rPr>
              <w:t xml:space="preserve">67</w:t>
            </w:r>
          </w:p>
        </w:tc>
        <w:tc>
          <w:tcPr>
            <w:tcW w:type="dxa" w:w="1500"/>
          </w:tcPr>
          <w:p>
            <w:pPr>
              <w:pStyle w:val="Compact"/>
              <w:jc w:val="right"/>
            </w:pPr>
            <w:r>
              <w:rPr>
                <w:rFonts w:ascii="Times New Roman" w:hAnsi="Times New Roman"/>
                <w:sz w:val="17"/>
              </w:rPr>
              <w:t xml:space="preserve">75</w:t>
            </w:r>
          </w:p>
        </w:tc>
        <w:tc>
          <w:tcPr>
            <w:tcW w:type="dxa" w:w="1500"/>
          </w:tcPr>
          <w:p>
            <w:pPr>
              <w:pStyle w:val="Compact"/>
              <w:jc w:val="right"/>
            </w:pPr>
            <w:r>
              <w:rPr>
                <w:rFonts w:ascii="Times New Roman" w:hAnsi="Times New Roman"/>
                <w:sz w:val="17"/>
              </w:rPr>
              <w:t xml:space="preserve">8</w:t>
            </w:r>
          </w:p>
        </w:tc>
      </w:tr>
      <w:tr>
        <w:tc>
          <w:tcPr>
            <w:tcW w:type="dxa" w:w="2906"/>
          </w:tcPr>
          <w:p>
            <w:pPr>
              <w:pStyle w:val="Compact"/>
              <w:jc w:val="left"/>
            </w:pPr>
            <w:r>
              <w:rPr>
                <w:rFonts w:ascii="Times New Roman" w:hAnsi="Times New Roman"/>
                <w:sz w:val="17"/>
              </w:rPr>
              <w:t xml:space="preserve">Interstitial cystitis</w:t>
            </w:r>
          </w:p>
        </w:tc>
        <w:tc>
          <w:tcPr>
            <w:tcW w:type="dxa" w:w="2062"/>
          </w:tcPr>
          <w:p>
            <w:pPr>
              <w:pStyle w:val="Compact"/>
              <w:jc w:val="right"/>
            </w:pPr>
            <w:r>
              <w:rPr>
                <w:rFonts w:ascii="Times New Roman" w:hAnsi="Times New Roman"/>
                <w:sz w:val="17"/>
              </w:rPr>
              <w:t xml:space="preserve">2</w:t>
            </w:r>
          </w:p>
        </w:tc>
        <w:tc>
          <w:tcPr>
            <w:tcW w:type="dxa" w:w="1406"/>
          </w:tcPr>
          <w:p>
            <w:pPr>
              <w:pStyle w:val="Compact"/>
              <w:jc w:val="right"/>
            </w:pPr>
            <w:r>
              <w:rPr>
                <w:rFonts w:ascii="Times New Roman" w:hAnsi="Times New Roman"/>
                <w:sz w:val="17"/>
              </w:rPr>
              <w:t xml:space="preserve">16</w:t>
            </w:r>
          </w:p>
        </w:tc>
        <w:tc>
          <w:tcPr>
            <w:tcW w:type="dxa" w:w="1500"/>
          </w:tcPr>
          <w:p>
            <w:pPr>
              <w:pStyle w:val="Compact"/>
              <w:jc w:val="right"/>
            </w:pPr>
            <w:r>
              <w:rPr>
                <w:rFonts w:ascii="Times New Roman" w:hAnsi="Times New Roman"/>
                <w:sz w:val="17"/>
              </w:rPr>
              <w:t xml:space="preserve">14</w:t>
            </w:r>
          </w:p>
        </w:tc>
        <w:tc>
          <w:tcPr>
            <w:tcW w:type="dxa" w:w="1500"/>
          </w:tcPr>
          <w:p>
            <w:pPr>
              <w:pStyle w:val="Compact"/>
              <w:jc w:val="right"/>
            </w:pPr>
            <w:r>
              <w:rPr>
                <w:rFonts w:ascii="Times New Roman" w:hAnsi="Times New Roman"/>
                <w:sz w:val="17"/>
              </w:rPr>
              <w:t xml:space="preserve">2745</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right"/>
            </w:pPr>
            <w:r>
              <w:rPr>
                <w:rFonts w:ascii="Times New Roman" w:hAnsi="Times New Roman"/>
                <w:sz w:val="17"/>
              </w:rPr>
              <w:t xml:space="preserve">2</w:t>
            </w:r>
          </w:p>
        </w:tc>
        <w:tc>
          <w:tcPr>
            <w:tcW w:type="dxa" w:w="1406"/>
          </w:tcPr>
          <w:p>
            <w:pPr>
              <w:pStyle w:val="Compact"/>
              <w:jc w:val="right"/>
            </w:pPr>
            <w:r>
              <w:rPr>
                <w:rFonts w:ascii="Times New Roman" w:hAnsi="Times New Roman"/>
                <w:sz w:val="17"/>
              </w:rPr>
              <w:t xml:space="preserve">43</w:t>
            </w:r>
          </w:p>
        </w:tc>
        <w:tc>
          <w:tcPr>
            <w:tcW w:type="dxa" w:w="1500"/>
          </w:tcPr>
          <w:p>
            <w:pPr>
              <w:pStyle w:val="Compact"/>
              <w:jc w:val="right"/>
            </w:pPr>
            <w:r>
              <w:rPr>
                <w:rFonts w:ascii="Times New Roman" w:hAnsi="Times New Roman"/>
                <w:sz w:val="17"/>
              </w:rPr>
              <w:t xml:space="preserve">22</w:t>
            </w:r>
          </w:p>
        </w:tc>
        <w:tc>
          <w:tcPr>
            <w:tcW w:type="dxa" w:w="1500"/>
          </w:tcPr>
          <w:p>
            <w:pPr>
              <w:pStyle w:val="Compact"/>
              <w:jc w:val="right"/>
            </w:pPr>
            <w:r>
              <w:rPr>
                <w:rFonts w:ascii="Times New Roman" w:hAnsi="Times New Roman"/>
                <w:sz w:val="17"/>
              </w:rPr>
              <w:t xml:space="preserve">1299</w:t>
            </w:r>
          </w:p>
        </w:tc>
      </w:tr>
      <w:tr>
        <w:tc>
          <w:tcPr>
            <w:tcW w:type="dxa" w:w="2906"/>
          </w:tcPr>
          <w:p>
            <w:pPr>
              <w:pStyle w:val="Compact"/>
              <w:jc w:val="left"/>
            </w:pPr>
            <w:r>
              <w:rPr>
                <w:rFonts w:ascii="Times New Roman" w:hAnsi="Times New Roman"/>
                <w:sz w:val="17"/>
              </w:rPr>
              <w:t xml:space="preserve">ME/CFS</w:t>
            </w:r>
          </w:p>
        </w:tc>
        <w:tc>
          <w:tcPr>
            <w:tcW w:type="dxa" w:w="2062"/>
          </w:tcPr>
          <w:p>
            <w:pPr>
              <w:pStyle w:val="Compact"/>
              <w:jc w:val="right"/>
            </w:pPr>
            <w:r>
              <w:rPr>
                <w:rFonts w:ascii="Times New Roman" w:hAnsi="Times New Roman"/>
                <w:sz w:val="17"/>
              </w:rPr>
              <w:t xml:space="preserve">2</w:t>
            </w:r>
          </w:p>
        </w:tc>
        <w:tc>
          <w:tcPr>
            <w:tcW w:type="dxa" w:w="1406"/>
          </w:tcPr>
          <w:p>
            <w:pPr>
              <w:pStyle w:val="Compact"/>
              <w:jc w:val="right"/>
            </w:pPr>
            <w:r>
              <w:rPr>
                <w:rFonts w:ascii="Times New Roman" w:hAnsi="Times New Roman"/>
                <w:sz w:val="17"/>
              </w:rPr>
              <w:t xml:space="preserve">16</w:t>
            </w:r>
          </w:p>
        </w:tc>
        <w:tc>
          <w:tcPr>
            <w:tcW w:type="dxa" w:w="1500"/>
          </w:tcPr>
          <w:p>
            <w:pPr>
              <w:pStyle w:val="Compact"/>
              <w:jc w:val="right"/>
            </w:pPr>
            <w:r>
              <w:rPr>
                <w:rFonts w:ascii="Times New Roman" w:hAnsi="Times New Roman"/>
                <w:sz w:val="17"/>
              </w:rPr>
              <w:t xml:space="preserve">14</w:t>
            </w:r>
          </w:p>
        </w:tc>
        <w:tc>
          <w:tcPr>
            <w:tcW w:type="dxa" w:w="1500"/>
          </w:tcPr>
          <w:p>
            <w:pPr>
              <w:pStyle w:val="Compact"/>
              <w:jc w:val="right"/>
            </w:pPr>
            <w:r>
              <w:rPr>
                <w:rFonts w:ascii="Times New Roman" w:hAnsi="Times New Roman"/>
                <w:sz w:val="17"/>
              </w:rPr>
              <w:t xml:space="preserve">49</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right"/>
            </w:pPr>
            <w:r>
              <w:rPr>
                <w:rFonts w:ascii="Times New Roman" w:hAnsi="Times New Roman"/>
                <w:sz w:val="17"/>
              </w:rPr>
              <w:t xml:space="preserve">6</w:t>
            </w:r>
          </w:p>
        </w:tc>
        <w:tc>
          <w:tcPr>
            <w:tcW w:type="dxa" w:w="1406"/>
          </w:tcPr>
          <w:p>
            <w:pPr>
              <w:pStyle w:val="Compact"/>
              <w:jc w:val="right"/>
            </w:pPr>
            <w:r>
              <w:rPr>
                <w:rFonts w:ascii="Times New Roman" w:hAnsi="Times New Roman"/>
                <w:sz w:val="17"/>
              </w:rPr>
              <w:t xml:space="preserve">64</w:t>
            </w:r>
          </w:p>
        </w:tc>
        <w:tc>
          <w:tcPr>
            <w:tcW w:type="dxa" w:w="1500"/>
          </w:tcPr>
          <w:p>
            <w:pPr>
              <w:pStyle w:val="Compact"/>
              <w:jc w:val="right"/>
            </w:pPr>
            <w:r>
              <w:rPr>
                <w:rFonts w:ascii="Times New Roman" w:hAnsi="Times New Roman"/>
                <w:sz w:val="17"/>
              </w:rPr>
              <w:t xml:space="preserve">39</w:t>
            </w:r>
          </w:p>
        </w:tc>
        <w:tc>
          <w:tcPr>
            <w:tcW w:type="dxa" w:w="1500"/>
          </w:tcPr>
          <w:p>
            <w:pPr>
              <w:pStyle w:val="Compact"/>
              <w:jc w:val="right"/>
            </w:pPr>
            <w:r>
              <w:rPr>
                <w:rFonts w:ascii="Times New Roman" w:hAnsi="Times New Roman"/>
                <w:sz w:val="17"/>
              </w:rPr>
              <w:t xml:space="preserve">0</w:t>
            </w:r>
          </w:p>
        </w:tc>
      </w:tr>
      <w:tr>
        <w:tc>
          <w:tcPr>
            <w:tcW w:type="dxa" w:w="2906"/>
          </w:tcPr>
          <w:p>
            <w:pPr>
              <w:pStyle w:val="Compact"/>
              <w:jc w:val="left"/>
            </w:pPr>
            <w:r>
              <w:rPr>
                <w:rFonts w:ascii="Times New Roman" w:hAnsi="Times New Roman"/>
                <w:sz w:val="17"/>
              </w:rPr>
              <w:t xml:space="preserve">Postpartum depression</w:t>
            </w:r>
          </w:p>
        </w:tc>
        <w:tc>
          <w:tcPr>
            <w:tcW w:type="dxa" w:w="2062"/>
          </w:tcPr>
          <w:p>
            <w:pPr>
              <w:pStyle w:val="Compact"/>
              <w:jc w:val="right"/>
            </w:pPr>
            <w:r>
              <w:rPr>
                <w:rFonts w:ascii="Times New Roman" w:hAnsi="Times New Roman"/>
                <w:sz w:val="17"/>
              </w:rPr>
              <w:t xml:space="preserve">1</w:t>
            </w:r>
          </w:p>
        </w:tc>
        <w:tc>
          <w:tcPr>
            <w:tcW w:type="dxa" w:w="1406"/>
          </w:tcPr>
          <w:p>
            <w:pPr>
              <w:pStyle w:val="Compact"/>
              <w:jc w:val="right"/>
            </w:pPr>
            <w:r>
              <w:rPr>
                <w:rFonts w:ascii="Times New Roman" w:hAnsi="Times New Roman"/>
                <w:sz w:val="17"/>
              </w:rPr>
              <w:t xml:space="preserve">16</w:t>
            </w:r>
          </w:p>
        </w:tc>
        <w:tc>
          <w:tcPr>
            <w:tcW w:type="dxa" w:w="1500"/>
          </w:tcPr>
          <w:p>
            <w:pPr>
              <w:pStyle w:val="Compact"/>
              <w:jc w:val="right"/>
            </w:pPr>
            <w:r>
              <w:rPr>
                <w:rFonts w:ascii="Times New Roman" w:hAnsi="Times New Roman"/>
                <w:sz w:val="17"/>
              </w:rPr>
              <w:t xml:space="preserve">32</w:t>
            </w:r>
          </w:p>
        </w:tc>
        <w:tc>
          <w:tcPr>
            <w:tcW w:type="dxa" w:w="1500"/>
          </w:tcPr>
          <w:p>
            <w:pPr>
              <w:pStyle w:val="Compact"/>
              <w:jc w:val="right"/>
            </w:pPr>
            <w:r>
              <w:rPr>
                <w:rFonts w:ascii="Times New Roman" w:hAnsi="Times New Roman"/>
                <w:sz w:val="17"/>
              </w:rPr>
              <w:t xml:space="preserve">0</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right"/>
            </w:pPr>
            <w:r>
              <w:rPr>
                <w:rFonts w:ascii="Times New Roman" w:hAnsi="Times New Roman"/>
                <w:sz w:val="17"/>
              </w:rPr>
              <w:t xml:space="preserve">16</w:t>
            </w:r>
          </w:p>
        </w:tc>
        <w:tc>
          <w:tcPr>
            <w:tcW w:type="dxa" w:w="1406"/>
          </w:tcPr>
          <w:p>
            <w:pPr>
              <w:pStyle w:val="Compact"/>
              <w:jc w:val="right"/>
            </w:pPr>
            <w:r>
              <w:rPr>
                <w:rFonts w:ascii="Times New Roman" w:hAnsi="Times New Roman"/>
                <w:sz w:val="17"/>
              </w:rPr>
              <w:t xml:space="preserve">271</w:t>
            </w:r>
          </w:p>
        </w:tc>
        <w:tc>
          <w:tcPr>
            <w:tcW w:type="dxa" w:w="1500"/>
          </w:tcPr>
          <w:p>
            <w:pPr>
              <w:pStyle w:val="Compact"/>
              <w:jc w:val="right"/>
            </w:pPr>
            <w:r>
              <w:rPr>
                <w:rFonts w:ascii="Times New Roman" w:hAnsi="Times New Roman"/>
                <w:sz w:val="17"/>
              </w:rPr>
              <w:t xml:space="preserve">401</w:t>
            </w:r>
          </w:p>
        </w:tc>
        <w:tc>
          <w:tcPr>
            <w:tcW w:type="dxa" w:w="1500"/>
          </w:tcPr>
          <w:p>
            <w:pPr>
              <w:pStyle w:val="Compact"/>
              <w:jc w:val="right"/>
            </w:pPr>
            <w:r>
              <w:rPr>
                <w:rFonts w:ascii="Times New Roman" w:hAnsi="Times New Roman"/>
                <w:sz w:val="17"/>
              </w:rPr>
              <w:t xml:space="preserve">648</w:t>
            </w:r>
          </w:p>
        </w:tc>
      </w:tr>
    </w:tbl>
    <w:p>
      <w:pPr>
        <w:pStyle w:val="TableCaption"/>
      </w:pPr>
      <w:r>
        <w:rPr>
          <w:rFonts w:ascii="Times New Roman" w:hAnsi="Times New Roman"/>
        </w:rPr>
        <w:t xml:space="preserve">Fresh preeclampsia ST3GAL2 cohorts, from results/fresh_cohort_tests.csv. The two-sided values are not used to overturn the registered aggregate.</w:t>
      </w:r>
    </w:p>
    <w:tbl>
      <w:tblPr>
        <w:tblStyle w:val="Table"/>
        <w:tblW w:type="pct" w:w="0.0"/>
        <w:tblLayout w:type="fixed"/>
        <w:tblLook w:firstRow="1"/>
        <w:tblCaption w:val="Fresh preeclampsia ST3GAL2 cohorts, from results/fresh_cohort_tests.csv. The two-sided values are not used to overturn the registered aggregate."/>
      </w:tblPr>
      <w:tblGrid>
        <w:gridCol w:w="2906"/>
        <w:gridCol w:w="2062"/>
        <w:gridCol w:w="1406"/>
        <w:gridCol w:w="1500"/>
        <w:gridCol w:w="1500"/>
      </w:tblGrid>
      <w:tr>
        <w:trPr>
          <w:cnfStyle w:firstRow="1"/>
        </w:trPr>
        <w:tc>
          <w:tcPr>
            <w:tcW w:type="dxa" w:w="2906"/>
            <w:tcBorders>
              <w:bottom w:val="single"/>
            </w:tcBorders>
            <w:vAlign w:val="bottom"/>
          </w:tcPr>
          <w:p>
            <w:pPr>
              <w:pStyle w:val="Compact"/>
              <w:jc w:val="left"/>
            </w:pPr>
            <w:r>
              <w:rPr>
                <w:rFonts w:ascii="Times New Roman" w:hAnsi="Times New Roman"/>
                <w:sz w:val="17"/>
              </w:rPr>
              <w:t xml:space="preserve">GEO</w:t>
            </w:r>
          </w:p>
        </w:tc>
        <w:tc>
          <w:tcPr>
            <w:tcW w:type="dxa" w:w="2062"/>
            <w:tcBorders>
              <w:bottom w:val="single"/>
            </w:tcBorders>
            <w:vAlign w:val="bottom"/>
          </w:tcPr>
          <w:p>
            <w:pPr>
              <w:pStyle w:val="Compact"/>
              <w:jc w:val="right"/>
            </w:pPr>
            <w:r>
              <w:rPr>
                <w:rFonts w:ascii="Times New Roman" w:hAnsi="Times New Roman"/>
                <w:sz w:val="17"/>
              </w:rPr>
              <w:t xml:space="preserve">Cases</w:t>
            </w:r>
          </w:p>
        </w:tc>
        <w:tc>
          <w:tcPr>
            <w:tcW w:type="dxa" w:w="1406"/>
            <w:tcBorders>
              <w:bottom w:val="single"/>
            </w:tcBorders>
            <w:vAlign w:val="bottom"/>
          </w:tcPr>
          <w:p>
            <w:pPr>
              <w:pStyle w:val="Compact"/>
              <w:jc w:val="right"/>
            </w:pPr>
            <w:r>
              <w:rPr>
                <w:rFonts w:ascii="Times New Roman" w:hAnsi="Times New Roman"/>
                <w:sz w:val="17"/>
              </w:rPr>
              <w:t xml:space="preserve">Controls</w:t>
            </w:r>
          </w:p>
        </w:tc>
        <w:tc>
          <w:tcPr>
            <w:tcW w:type="dxa" w:w="1500"/>
            <w:tcBorders>
              <w:bottom w:val="single"/>
            </w:tcBorders>
            <w:vAlign w:val="bottom"/>
          </w:tcPr>
          <w:p>
            <w:pPr>
              <w:pStyle w:val="Compact"/>
              <w:jc w:val="right"/>
            </w:pPr>
            <w:r>
              <w:rPr>
                <w:rFonts w:ascii="Times New Roman" w:hAnsi="Times New Roman"/>
                <w:sz w:val="17"/>
              </w:rPr>
              <w:t xml:space="preserve">Hedges g</w:t>
            </w:r>
          </w:p>
        </w:tc>
        <w:tc>
          <w:tcPr>
            <w:tcW w:type="dxa" w:w="1500"/>
            <w:tcBorders>
              <w:bottom w:val="single"/>
            </w:tcBorders>
            <w:vAlign w:val="bottom"/>
          </w:tcPr>
          <w:p>
            <w:pPr>
              <w:pStyle w:val="Compact"/>
              <w:jc w:val="left"/>
            </w:pPr>
            <w:r>
              <w:rPr>
                <w:rFonts w:ascii="Times New Roman" w:hAnsi="Times New Roman"/>
                <w:sz w:val="17"/>
              </w:rPr>
              <w:t xml:space="preserve">Tissue</w:t>
            </w:r>
          </w:p>
        </w:tc>
      </w:tr>
      <w:tr>
        <w:tc>
          <w:tcPr>
            <w:tcW w:type="dxa" w:w="2906"/>
          </w:tcPr>
          <w:p>
            <w:pPr>
              <w:pStyle w:val="Compact"/>
              <w:jc w:val="left"/>
            </w:pPr>
            <w:r>
              <w:rPr>
                <w:rFonts w:ascii="Times New Roman" w:hAnsi="Times New Roman"/>
                <w:sz w:val="17"/>
              </w:rPr>
              <w:t xml:space="preserve">GSE204835</w:t>
            </w:r>
          </w:p>
        </w:tc>
        <w:tc>
          <w:tcPr>
            <w:tcW w:type="dxa" w:w="2062"/>
          </w:tcPr>
          <w:p>
            <w:pPr>
              <w:pStyle w:val="Compact"/>
              <w:jc w:val="right"/>
            </w:pPr>
            <w:r>
              <w:rPr>
                <w:rFonts w:ascii="Times New Roman" w:hAnsi="Times New Roman"/>
                <w:sz w:val="17"/>
              </w:rPr>
              <w:t xml:space="preserve">16</w:t>
            </w:r>
          </w:p>
        </w:tc>
        <w:tc>
          <w:tcPr>
            <w:tcW w:type="dxa" w:w="1406"/>
          </w:tcPr>
          <w:p>
            <w:pPr>
              <w:pStyle w:val="Compact"/>
              <w:jc w:val="right"/>
            </w:pPr>
            <w:r>
              <w:rPr>
                <w:rFonts w:ascii="Times New Roman" w:hAnsi="Times New Roman"/>
                <w:sz w:val="17"/>
              </w:rPr>
              <w:t xml:space="preserve">12</w:t>
            </w:r>
          </w:p>
        </w:tc>
        <w:tc>
          <w:tcPr>
            <w:tcW w:type="dxa" w:w="1500"/>
          </w:tcPr>
          <w:p>
            <w:pPr>
              <w:pStyle w:val="Compact"/>
              <w:jc w:val="right"/>
            </w:pPr>
            <m:oMath>
              <m:r>
                <m:t>−</m:t>
              </m:r>
              <m:r>
                <m:t>0.497</m:t>
              </m:r>
            </m:oMath>
          </w:p>
        </w:tc>
        <w:tc>
          <w:tcPr>
            <w:tcW w:type="dxa" w:w="1500"/>
          </w:tcPr>
          <w:p>
            <w:pPr>
              <w:pStyle w:val="Compact"/>
              <w:jc w:val="left"/>
            </w:pPr>
            <w:r>
              <w:rPr>
                <w:rFonts w:ascii="Times New Roman" w:hAnsi="Times New Roman"/>
                <w:sz w:val="17"/>
              </w:rPr>
              <w:t xml:space="preserve">placenta</w:t>
            </w:r>
          </w:p>
        </w:tc>
      </w:tr>
      <w:tr>
        <w:tc>
          <w:tcPr>
            <w:tcW w:type="dxa" w:w="2906"/>
          </w:tcPr>
          <w:p>
            <w:pPr>
              <w:pStyle w:val="Compact"/>
              <w:jc w:val="left"/>
            </w:pPr>
            <w:r>
              <w:rPr>
                <w:rFonts w:ascii="Times New Roman" w:hAnsi="Times New Roman"/>
                <w:sz w:val="17"/>
              </w:rPr>
              <w:t xml:space="preserve">GSE296973</w:t>
            </w:r>
          </w:p>
        </w:tc>
        <w:tc>
          <w:tcPr>
            <w:tcW w:type="dxa" w:w="2062"/>
          </w:tcPr>
          <w:p>
            <w:pPr>
              <w:pStyle w:val="Compact"/>
              <w:jc w:val="right"/>
            </w:pPr>
            <w:r>
              <w:rPr>
                <w:rFonts w:ascii="Times New Roman" w:hAnsi="Times New Roman"/>
                <w:sz w:val="17"/>
              </w:rPr>
              <w:t xml:space="preserve">10</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m:oMath>
              <m:r>
                <m:t>+</m:t>
              </m:r>
              <m:r>
                <m:t>0.936</m:t>
              </m:r>
            </m:oMath>
          </w:p>
        </w:tc>
        <w:tc>
          <w:tcPr>
            <w:tcW w:type="dxa" w:w="1500"/>
          </w:tcPr>
          <w:p>
            <w:pPr>
              <w:pStyle w:val="Compact"/>
              <w:jc w:val="left"/>
            </w:pPr>
            <w:r>
              <w:rPr>
                <w:rFonts w:ascii="Times New Roman" w:hAnsi="Times New Roman"/>
                <w:sz w:val="17"/>
              </w:rPr>
              <w:t xml:space="preserve">blood</w:t>
            </w:r>
          </w:p>
        </w:tc>
      </w:tr>
      <w:tr>
        <w:tc>
          <w:tcPr>
            <w:tcW w:type="dxa" w:w="2906"/>
          </w:tcPr>
          <w:p>
            <w:pPr>
              <w:pStyle w:val="Compact"/>
              <w:jc w:val="left"/>
            </w:pPr>
            <w:r>
              <w:rPr>
                <w:rFonts w:ascii="Times New Roman" w:hAnsi="Times New Roman"/>
                <w:sz w:val="17"/>
              </w:rPr>
              <w:t xml:space="preserve">GSE306864</w:t>
            </w:r>
          </w:p>
        </w:tc>
        <w:tc>
          <w:tcPr>
            <w:tcW w:type="dxa" w:w="2062"/>
          </w:tcPr>
          <w:p>
            <w:pPr>
              <w:pStyle w:val="Compact"/>
              <w:jc w:val="right"/>
            </w:pPr>
            <w:r>
              <w:rPr>
                <w:rFonts w:ascii="Times New Roman" w:hAnsi="Times New Roman"/>
                <w:sz w:val="17"/>
              </w:rPr>
              <w:t xml:space="preserve">13</w:t>
            </w:r>
          </w:p>
        </w:tc>
        <w:tc>
          <w:tcPr>
            <w:tcW w:type="dxa" w:w="1406"/>
          </w:tcPr>
          <w:p>
            <w:pPr>
              <w:pStyle w:val="Compact"/>
              <w:jc w:val="right"/>
            </w:pPr>
            <w:r>
              <w:rPr>
                <w:rFonts w:ascii="Times New Roman" w:hAnsi="Times New Roman"/>
                <w:sz w:val="17"/>
              </w:rPr>
              <w:t xml:space="preserve">45</w:t>
            </w:r>
          </w:p>
        </w:tc>
        <w:tc>
          <w:tcPr>
            <w:tcW w:type="dxa" w:w="1500"/>
          </w:tcPr>
          <w:p>
            <w:pPr>
              <w:pStyle w:val="Compact"/>
              <w:jc w:val="right"/>
            </w:pPr>
            <m:oMath>
              <m:r>
                <m:t>+</m:t>
              </m:r>
              <m:r>
                <m:t>0.091</m:t>
              </m:r>
            </m:oMath>
          </w:p>
        </w:tc>
        <w:tc>
          <w:tcPr>
            <w:tcW w:type="dxa" w:w="1500"/>
          </w:tcPr>
          <w:p>
            <w:pPr>
              <w:pStyle w:val="Compact"/>
              <w:jc w:val="left"/>
            </w:pPr>
            <w:r>
              <w:rPr>
                <w:rFonts w:ascii="Times New Roman" w:hAnsi="Times New Roman"/>
                <w:sz w:val="17"/>
              </w:rPr>
              <w:t xml:space="preserve">villus</w:t>
            </w:r>
          </w:p>
        </w:tc>
      </w:tr>
      <w:tr>
        <w:tc>
          <w:tcPr>
            <w:tcW w:type="dxa" w:w="2906"/>
          </w:tcPr>
          <w:p>
            <w:pPr>
              <w:pStyle w:val="Compact"/>
              <w:jc w:val="left"/>
            </w:pPr>
            <w:r>
              <w:rPr>
                <w:rFonts w:ascii="Times New Roman" w:hAnsi="Times New Roman"/>
                <w:sz w:val="17"/>
              </w:rPr>
              <w:t xml:space="preserve">GSE303840</w:t>
            </w:r>
          </w:p>
        </w:tc>
        <w:tc>
          <w:tcPr>
            <w:tcW w:type="dxa" w:w="2062"/>
          </w:tcPr>
          <w:p>
            <w:pPr>
              <w:pStyle w:val="Compact"/>
              <w:jc w:val="right"/>
            </w:pPr>
            <w:r>
              <w:rPr>
                <w:rFonts w:ascii="Times New Roman" w:hAnsi="Times New Roman"/>
                <w:sz w:val="17"/>
              </w:rPr>
              <w:t xml:space="preserve">12</w:t>
            </w:r>
          </w:p>
        </w:tc>
        <w:tc>
          <w:tcPr>
            <w:tcW w:type="dxa" w:w="1406"/>
          </w:tcPr>
          <w:p>
            <w:pPr>
              <w:pStyle w:val="Compact"/>
              <w:jc w:val="right"/>
            </w:pPr>
            <w:r>
              <w:rPr>
                <w:rFonts w:ascii="Times New Roman" w:hAnsi="Times New Roman"/>
                <w:sz w:val="17"/>
              </w:rPr>
              <w:t xml:space="preserve">12</w:t>
            </w:r>
          </w:p>
        </w:tc>
        <w:tc>
          <w:tcPr>
            <w:tcW w:type="dxa" w:w="1500"/>
          </w:tcPr>
          <w:p>
            <w:pPr>
              <w:pStyle w:val="Compact"/>
              <w:jc w:val="right"/>
            </w:pPr>
            <m:oMath>
              <m:r>
                <m:t>−</m:t>
              </m:r>
              <m:r>
                <m:t>0.882</m:t>
              </m:r>
            </m:oMath>
          </w:p>
        </w:tc>
        <w:tc>
          <w:tcPr>
            <w:tcW w:type="dxa" w:w="1500"/>
          </w:tcPr>
          <w:p>
            <w:pPr>
              <w:pStyle w:val="Compact"/>
              <w:jc w:val="left"/>
            </w:pPr>
            <w:r>
              <w:rPr>
                <w:rFonts w:ascii="Times New Roman" w:hAnsi="Times New Roman"/>
                <w:sz w:val="17"/>
              </w:rPr>
              <w:t xml:space="preserve">placenta</w:t>
            </w:r>
          </w:p>
        </w:tc>
      </w:tr>
    </w:tbl>
    <w:p>
      <w:pPr>
        <w:pStyle w:val="CaptionedFigure"/>
      </w:pPr>
      <w:r>
        <w:rPr>
          <w:rFonts w:ascii="Times New Roman" w:hAnsi="Times New Roman"/>
        </w:rPr>
        <w:drawing>
          <wp:inline>
            <wp:extent cx="5334000" cy="3288979"/>
            <wp:effectExtent b="0" l="0" r="0" t="0"/>
            <wp:docPr descr="Held-out cohorts by disease, calculated from results/cnn_crosscohort.csv after deduplication. Mean AUROC is unweighted across validation cohorts within each disease; cohort sizes differ." title="" id="1" name="Picture"/>
            <a:graphic>
              <a:graphicData uri="http://schemas.openxmlformats.org/drawingml/2006/picture">
                <pic:pic>
                  <pic:nvPicPr>
                    <pic:cNvPr descr="figures/cnn_crosscohort.png" id="0" name="Picture"/>
                    <pic:cNvPicPr>
                      <a:picLocks noChangeArrowheads="1" noChangeAspect="1"/>
                    </pic:cNvPicPr>
                  </pic:nvPicPr>
                  <pic:blipFill>
                    <a:blip r:embed="rId55"/>
                    <a:stretch>
                      <a:fillRect/>
                    </a:stretch>
                  </pic:blipFill>
                  <pic:spPr bwMode="auto">
                    <a:xfrm>
                      <a:off x="0" y="0"/>
                      <a:ext cx="5334000" cy="3288979"/>
                    </a:xfrm>
                    <a:prstGeom prst="rect">
                      <a:avLst/>
                    </a:prstGeom>
                    <a:noFill/>
                    <a:ln w="9525">
                      <a:noFill/>
                      <a:headEnd/>
                      <a:tailEnd/>
                    </a:ln>
                  </pic:spPr>
                </pic:pic>
              </a:graphicData>
            </a:graphic>
          </wp:inline>
        </w:drawing>
      </w:r>
    </w:p>
    <w:p>
      <w:pPr>
        <w:pStyle w:val="ImageCaption"/>
      </w:pPr>
      <w:r>
        <w:rPr>
          <w:rFonts w:ascii="Times New Roman" w:hAnsi="Times New Roman"/>
        </w:rPr>
        <w:t xml:space="preserve">Held-out cohorts by disease, calculated from</w:t>
      </w:r>
      <w:r>
        <w:rPr>
          <w:rFonts w:ascii="Times New Roman" w:hAnsi="Times New Roman"/>
        </w:rPr>
        <w:t xml:space="preserve"> </w:t>
      </w:r>
      <w:r>
        <w:rPr>
          <w:rStyle w:val="VerbatimChar"/>
          <w:rFonts w:ascii="Times New Roman" w:hAnsi="Times New Roman"/>
        </w:rPr>
        <w:t xml:space="preserve">results/cnn_crosscohort.csv</w:t>
      </w:r>
      <w:r>
        <w:rPr>
          <w:rFonts w:ascii="Times New Roman" w:hAnsi="Times New Roman"/>
        </w:rPr>
        <w:t xml:space="preserve"> </w:t>
      </w:r>
      <w:r>
        <w:rPr>
          <w:rFonts w:ascii="Times New Roman" w:hAnsi="Times New Roman"/>
        </w:rPr>
        <w:t xml:space="preserve">after deduplication. Mean AUROC is unweighted across validation cohorts within each disease; cohort sizes differ.</w:t>
      </w:r>
    </w:p>
    <w:p>
      <w:pPr>
        <w:pStyle w:val="CaptionedFigure"/>
      </w:pPr>
      <w:r>
        <w:rPr>
          <w:rFonts w:ascii="Times New Roman" w:hAnsi="Times New Roman"/>
        </w:rPr>
        <w:drawing>
          <wp:inline>
            <wp:extent cx="5334000" cy="2443826"/>
            <wp:effectExtent b="0" l="0" r="0" t="0"/>
            <wp:docPr descr="Within-project gene-ranking benchmark. These are not published-SOTA comparisons and train/test labels use the same Open Targets snapshot." title="" id="1" name="Picture"/>
            <a:graphic>
              <a:graphicData uri="http://schemas.openxmlformats.org/drawingml/2006/picture">
                <pic:pic>
                  <pic:nvPicPr>
                    <pic:cNvPr descr="figures/gene_benchmark.png" id="0" name="Picture"/>
                    <pic:cNvPicPr>
                      <a:picLocks noChangeArrowheads="1" noChangeAspect="1"/>
                    </pic:cNvPicPr>
                  </pic:nvPicPr>
                  <pic:blipFill>
                    <a:blip r:embed="rId56"/>
                    <a:stretch>
                      <a:fillRect/>
                    </a:stretch>
                  </pic:blipFill>
                  <pic:spPr bwMode="auto">
                    <a:xfrm>
                      <a:off x="0" y="0"/>
                      <a:ext cx="5334000" cy="2443826"/>
                    </a:xfrm>
                    <a:prstGeom prst="rect">
                      <a:avLst/>
                    </a:prstGeom>
                    <a:noFill/>
                    <a:ln w="9525">
                      <a:noFill/>
                      <a:headEnd/>
                      <a:tailEnd/>
                    </a:ln>
                  </pic:spPr>
                </pic:pic>
              </a:graphicData>
            </a:graphic>
          </wp:inline>
        </w:drawing>
      </w:r>
    </w:p>
    <w:p>
      <w:pPr>
        <w:pStyle w:val="ImageCaption"/>
      </w:pPr>
      <w:r>
        <w:rPr>
          <w:rFonts w:ascii="Times New Roman" w:hAnsi="Times New Roman"/>
        </w:rPr>
        <w:t xml:space="preserve">Within-project gene-ranking benchmark. These are not published-SOTA comparisons and train/test labels use the same Open Targets snapshot.</w:t>
      </w:r>
    </w:p>
    <w:p>
      <w:pPr>
        <w:pStyle w:val="Heading1"/>
      </w:pPr>
      <w:bookmarkStart w:id="57" w:name="X85754006e30317d732371cb03e7dbb15ede20df"/>
      <w:r>
        <w:rPr>
          <w:rFonts w:ascii="Times New Roman" w:hAnsi="Times New Roman"/>
        </w:rPr>
        <w:t xml:space="preserve">Prospective prediction attempts and failures</w:t>
      </w:r>
      <w:bookmarkEnd w:id="57"/>
    </w:p>
    <w:p>
      <w:pPr>
        <w:pStyle w:val="FirstParagraph"/>
      </w:pPr>
      <w:r>
        <w:rPr>
          <w:rFonts w:ascii="Times New Roman" w:hAnsi="Times New Roman"/>
        </w:rPr>
        <w:t xml:space="preserve">P1, GNG2 down in preeclampsia, was registered before validation and failed (validation</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017.png" id="0" name="Picture"/>
                    <pic:cNvPicPr>
                      <a:picLocks noChangeArrowheads="1" noChangeAspect="1"/>
                    </pic:cNvPicPr>
                  </pic:nvPicPr>
                  <pic:blipFill>
                    <a:blip r:embed="rId58"/>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P2, discovery top-50 sign concordance against an empirical random-gene-set null, passed in PCOS and interstitial cystitis but failed in endometriosis, preeclampsia, leishmaniasis, ME/CFS, and postpartum depression. Interstitial cystitis validation has only seven samples. The PCOS exploratory top-20 shortlist was registered before a new cumulus-cell cohort, GSE277906; 12 of 17 measured genes had matching signs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18.png" id="0" name="Picture"/>
                    <pic:cNvPicPr>
                      <a:picLocks noChangeArrowheads="1" noChangeAspect="1"/>
                    </pic:cNvPicPr>
                  </pic:nvPicPr>
                  <pic:blipFill>
                    <a:blip r:embed="rId5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one-sided exact binomial, uncorrected). It does not meet the registered criterion and no q&lt;0.05 gene was present in the deduplicated PCOS discovery meta-analysis.</w:t>
      </w:r>
    </w:p>
    <w:p>
      <w:pPr>
        <w:pStyle w:val="BodyText"/>
      </w:pPr>
      <w:r>
        <w:rPr>
          <w:rFonts w:ascii="Times New Roman" w:hAnsi="Times New Roman"/>
        </w:rPr>
        <w:t xml:space="preserve">P3, ST3GAL2 down in independent PE cohorts, was registered before processing fresh cohorts. The four-cohort random-effects standardized mean was -0.1034 with SE 0.3536, one-sided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21.png" id="0" name="Picture"/>
                    <pic:cNvPicPr>
                      <a:picLocks noChangeArrowheads="1" noChangeAspect="1"/>
                    </pic:cNvPicPr>
                  </pic:nvPicPr>
                  <pic:blipFill>
                    <a:blip r:embed="rId6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drawing>
          <wp:inline>
            <wp:extent cx="642620" cy="101040"/>
            <wp:effectExtent b="0" l="0" r="0" t="0"/>
            <wp:docPr descr="image" title="" id="1" name="Picture"/>
            <a:graphic>
              <a:graphicData uri="http://schemas.openxmlformats.org/drawingml/2006/picture">
                <pic:pic>
                  <pic:nvPicPr>
                    <pic:cNvPr descr="equations/in022.png" id="0" name="Picture"/>
                    <pic:cNvPicPr>
                      <a:picLocks noChangeArrowheads="1" noChangeAspect="1"/>
                    </pic:cNvPicPr>
                  </pic:nvPicPr>
                  <pic:blipFill>
                    <a:blip r:embed="rId61"/>
                    <a:stretch>
                      <a:fillRect/>
                    </a:stretch>
                  </pic:blipFill>
                  <pic:spPr bwMode="auto">
                    <a:xfrm>
                      <a:off x="0" y="0"/>
                      <a:ext cx="642620" cy="101040"/>
                    </a:xfrm>
                    <a:prstGeom prst="rect">
                      <a:avLst/>
                    </a:prstGeom>
                    <a:noFill/>
                    <a:ln w="9525">
                      <a:noFill/>
                      <a:headEnd/>
                      <a:tailEnd/>
                    </a:ln>
                  </pic:spPr>
                </pic:pic>
              </a:graphicData>
            </a:graphic>
          </wp:inline>
        </w:drawing>
      </w:r>
      <w:r>
        <w:rPr>
          <w:rFonts w:ascii="Times New Roman" w:hAnsi="Times New Roman"/>
        </w:rPr>
        <w:t xml:space="preserve">. Restriction to three placenta-derived cohorts gave -0.3739, one-sided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24.png" id="0" name="Picture"/>
                    <pic:cNvPicPr>
                      <a:picLocks noChangeArrowheads="1" noChangeAspect="1"/>
                    </pic:cNvPicPr>
                  </pic:nvPicPr>
                  <pic:blipFill>
                    <a:blip r:embed="rId62"/>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Both fail; blood and one villus cohort point upward. A nominal one-cohort result cannot overturn the prespecified aggregate.</w:t>
      </w:r>
    </w:p>
    <w:p>
      <w:pPr>
        <w:pStyle w:val="CaptionedFigure"/>
      </w:pPr>
      <w:r>
        <w:rPr>
          <w:rFonts w:ascii="Times New Roman" w:hAnsi="Times New Roman"/>
        </w:rPr>
        <w:drawing>
          <wp:inline>
            <wp:extent cx="5334000" cy="2747818"/>
            <wp:effectExtent b="0" l="0" r="0" t="0"/>
            <wp:docPr descr="Four fresh RNA-seq cohorts, direction and normal-reference intervals for ST3GAL2. Mixed tissues and one FPKM-normalized cohort are shown, not hidden." title="" id="1" name="Picture"/>
            <a:graphic>
              <a:graphicData uri="http://schemas.openxmlformats.org/drawingml/2006/picture">
                <pic:pic>
                  <pic:nvPicPr>
                    <pic:cNvPr descr="figures/P3_fresh_effects.png" id="0" name="Picture"/>
                    <pic:cNvPicPr>
                      <a:picLocks noChangeArrowheads="1" noChangeAspect="1"/>
                    </pic:cNvPicPr>
                  </pic:nvPicPr>
                  <pic:blipFill>
                    <a:blip r:embed="rId63"/>
                    <a:stretch>
                      <a:fillRect/>
                    </a:stretch>
                  </pic:blipFill>
                  <pic:spPr bwMode="auto">
                    <a:xfrm>
                      <a:off x="0" y="0"/>
                      <a:ext cx="5334000" cy="2747818"/>
                    </a:xfrm>
                    <a:prstGeom prst="rect">
                      <a:avLst/>
                    </a:prstGeom>
                    <a:noFill/>
                    <a:ln w="9525">
                      <a:noFill/>
                      <a:headEnd/>
                      <a:tailEnd/>
                    </a:ln>
                  </pic:spPr>
                </pic:pic>
              </a:graphicData>
            </a:graphic>
          </wp:inline>
        </w:drawing>
      </w:r>
    </w:p>
    <w:p>
      <w:pPr>
        <w:pStyle w:val="ImageCaption"/>
      </w:pPr>
      <w:r>
        <w:rPr>
          <w:rFonts w:ascii="Times New Roman" w:hAnsi="Times New Roman"/>
        </w:rPr>
        <w:t xml:space="preserve">Four fresh RNA-seq cohorts, direction and normal-reference intervals for ST3GAL2. Mixed tissues and one FPKM-normalized cohort are shown, not hidden.</w:t>
      </w:r>
    </w:p>
    <w:p>
      <w:pPr>
        <w:pStyle w:val="Heading2"/>
      </w:pPr>
      <w:bookmarkStart w:id="64" w:name="X531b3529940a8ab0054946d203b3fda54b27a6f"/>
      <w:r>
        <w:rPr>
          <w:rFonts w:ascii="Times New Roman" w:hAnsi="Times New Roman"/>
        </w:rPr>
        <w:t xml:space="preserve">Preeclampsia effect-estimator sensitivity</w:t>
      </w:r>
      <w:bookmarkEnd w:id="64"/>
    </w:p>
    <w:p>
      <w:pPr>
        <w:pStyle w:val="FirstParagraph"/>
      </w:pPr>
      <w:r>
        <w:rPr>
          <w:rFonts w:ascii="Times New Roman" w:hAnsi="Times New Roman"/>
        </w:rPr>
        <w:t xml:space="preserve">The P3 ST3GAL2 decision used the registered DerSimonian–Laird pooled effect across all four fresh cohorts; it fails the one-sided down-regulation threshold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21.png" id="0" name="Picture"/>
                    <pic:cNvPicPr>
                      <a:picLocks noChangeArrowheads="1" noChangeAspect="1"/>
                    </pic:cNvPicPr>
                  </pic:nvPicPr>
                  <pic:blipFill>
                    <a:blip r:embed="rId6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As an estimator check, we recalculated from the same cohort effect sizes and variances with the independent</w:t>
      </w:r>
      <w:r>
        <w:rPr>
          <w:rFonts w:ascii="Times New Roman" w:hAnsi="Times New Roman"/>
        </w:rPr>
        <w:t xml:space="preserve"> </w:t>
      </w:r>
      <w:r>
        <w:rPr>
          <w:rStyle w:val="VerbatimChar"/>
          <w:rFonts w:ascii="Times New Roman" w:hAnsi="Times New Roman"/>
        </w:rPr>
        <w:t xml:space="preserve">statsmodels</w:t>
      </w:r>
      <w:r>
        <w:rPr>
          <w:rFonts w:ascii="Times New Roman" w:hAnsi="Times New Roman"/>
        </w:rPr>
        <w:t xml:space="preserve"> </w:t>
      </w:r>
      <w:r>
        <w:rPr>
          <w:rFonts w:ascii="Times New Roman" w:hAnsi="Times New Roman"/>
        </w:rPr>
        <w:t xml:space="preserve">meta-analysis routine. Its DerSimonian–Laird result agrees numerically with the project implementation:</w:t>
      </w:r>
      <w:r>
        <w:rPr>
          <w:rFonts w:ascii="Times New Roman" w:hAnsi="Times New Roman"/>
        </w:rPr>
        <w:t xml:space="preserve"> </w:t>
      </w:r>
      <w:r>
        <w:rPr>
          <w:rFonts w:ascii="Times New Roman" w:hAnsi="Times New Roman"/>
        </w:rPr>
        <w:drawing>
          <wp:inline>
            <wp:extent cx="694690" cy="113750"/>
            <wp:effectExtent b="0" l="0" r="0" t="0"/>
            <wp:docPr descr="image" title="" id="1" name="Picture"/>
            <a:graphic>
              <a:graphicData uri="http://schemas.openxmlformats.org/drawingml/2006/picture">
                <pic:pic>
                  <pic:nvPicPr>
                    <pic:cNvPr descr="equations/in025.png" id="0" name="Picture"/>
                    <pic:cNvPicPr>
                      <a:picLocks noChangeArrowheads="1" noChangeAspect="1"/>
                    </pic:cNvPicPr>
                  </pic:nvPicPr>
                  <pic:blipFill>
                    <a:blip r:embed="rId65"/>
                    <a:stretch>
                      <a:fillRect/>
                    </a:stretch>
                  </pic:blipFill>
                  <pic:spPr bwMode="auto">
                    <a:xfrm>
                      <a:off x="0" y="0"/>
                      <a:ext cx="694690" cy="113750"/>
                    </a:xfrm>
                    <a:prstGeom prst="rect">
                      <a:avLst/>
                    </a:prstGeom>
                    <a:noFill/>
                    <a:ln w="9525">
                      <a:noFill/>
                      <a:headEnd/>
                      <a:tailEnd/>
                    </a:ln>
                  </pic:spPr>
                </pic:pic>
              </a:graphicData>
            </a:graphic>
          </wp:inline>
        </w:drawing>
      </w:r>
      <w:r>
        <w:rPr>
          <w:rFonts w:ascii="Times New Roman" w:hAnsi="Times New Roman"/>
        </w:rPr>
        <w:t xml:space="preserve">, SE 0.3536, and one-sided normal-reference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21.png" id="0" name="Picture"/>
                    <pic:cNvPicPr>
                      <a:picLocks noChangeArrowheads="1" noChangeAspect="1"/>
                    </pic:cNvPicPr>
                  </pic:nvPicPr>
                  <pic:blipFill>
                    <a:blip r:embed="rId6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 iterative Paule–Mandel estimator returns</w:t>
      </w:r>
      <w:r>
        <w:rPr>
          <w:rFonts w:ascii="Times New Roman" w:hAnsi="Times New Roman"/>
        </w:rPr>
        <w:t xml:space="preserve"> </w:t>
      </w:r>
      <w:r>
        <w:rPr>
          <w:rFonts w:ascii="Times New Roman" w:hAnsi="Times New Roman"/>
        </w:rPr>
        <w:drawing>
          <wp:inline>
            <wp:extent cx="694690" cy="113750"/>
            <wp:effectExtent b="0" l="0" r="0" t="0"/>
            <wp:docPr descr="image" title="" id="1" name="Picture"/>
            <a:graphic>
              <a:graphicData uri="http://schemas.openxmlformats.org/drawingml/2006/picture">
                <pic:pic>
                  <pic:nvPicPr>
                    <pic:cNvPr descr="equations/in026.png" id="0" name="Picture"/>
                    <pic:cNvPicPr>
                      <a:picLocks noChangeArrowheads="1" noChangeAspect="1"/>
                    </pic:cNvPicPr>
                  </pic:nvPicPr>
                  <pic:blipFill>
                    <a:blip r:embed="rId66"/>
                    <a:stretch>
                      <a:fillRect/>
                    </a:stretch>
                  </pic:blipFill>
                  <pic:spPr bwMode="auto">
                    <a:xfrm>
                      <a:off x="0" y="0"/>
                      <a:ext cx="694690" cy="113750"/>
                    </a:xfrm>
                    <a:prstGeom prst="rect">
                      <a:avLst/>
                    </a:prstGeom>
                    <a:noFill/>
                    <a:ln w="9525">
                      <a:noFill/>
                      <a:headEnd/>
                      <a:tailEnd/>
                    </a:ln>
                  </pic:spPr>
                </pic:pic>
              </a:graphicData>
            </a:graphic>
          </wp:inline>
        </w:drawing>
      </w:r>
      <w:r>
        <w:rPr>
          <w:rFonts w:ascii="Times New Roman" w:hAnsi="Times New Roman"/>
        </w:rPr>
        <w:t xml:space="preserve">, SE 0.3831,</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28.png" id="0" name="Picture"/>
                    <pic:cNvPicPr>
                      <a:picLocks noChangeArrowheads="1" noChangeAspect="1"/>
                    </pic:cNvPicPr>
                  </pic:nvPicPr>
                  <pic:blipFill>
                    <a:blip r:embed="rId67"/>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Leave-one-out iterative estimates also fail the 0.05 down-direction threshold (one-sided</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range 0.0969 to 0.6369). Omitting the blood cohort yields the most favorable subset,</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32.png" id="0" name="Picture"/>
                    <pic:cNvPicPr>
                      <a:picLocks noChangeArrowheads="1" noChangeAspect="1"/>
                    </pic:cNvPicPr>
                  </pic:nvPicPr>
                  <pic:blipFill>
                    <a:blip r:embed="rId68"/>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that is post-hoc and still negative. The independent-library check, generated from the same four cohort estimates, is in the PE P3 sensitivity CSV in the results folder. It does not add new cohorts. A small-</w:t>
      </w:r>
      <w:r>
        <w:rPr>
          <w:rFonts w:ascii="Times New Roman" w:hAnsi="Times New Roman"/>
        </w:rPr>
        <w:drawing>
          <wp:inline>
            <wp:extent cx="69850" cy="81491"/>
            <wp:effectExtent b="0" l="0" r="0" t="0"/>
            <wp:docPr descr="image" title="" id="1" name="Picture"/>
            <a:graphic>
              <a:graphicData uri="http://schemas.openxmlformats.org/drawingml/2006/picture">
                <pic:pic>
                  <pic:nvPicPr>
                    <pic:cNvPr descr="equations/in007.png" id="0" name="Picture"/>
                    <pic:cNvPicPr>
                      <a:picLocks noChangeArrowheads="1" noChangeAspect="1"/>
                    </pic:cNvPicPr>
                  </pic:nvPicPr>
                  <pic:blipFill>
                    <a:blip r:embed="rId34"/>
                    <a:stretch>
                      <a:fillRect/>
                    </a:stretch>
                  </pic:blipFill>
                  <pic:spPr bwMode="auto">
                    <a:xfrm>
                      <a:off x="0" y="0"/>
                      <a:ext cx="69850" cy="81491"/>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random-effects model carries material uncertainty; choosing a different heterogeneity estimator cannot turn P3 into a discovery.</w:t>
      </w:r>
    </w:p>
    <w:p>
      <w:pPr>
        <w:pStyle w:val="Heading2"/>
      </w:pPr>
      <w:bookmarkStart w:id="69" w:name="all-deduplicated-signature-replications"/>
      <w:r>
        <w:rPr>
          <w:rFonts w:ascii="Times New Roman" w:hAnsi="Times New Roman"/>
        </w:rPr>
        <w:t xml:space="preserve">All deduplicated signature replications</w:t>
      </w:r>
      <w:bookmarkEnd w:id="69"/>
    </w:p>
    <w:p>
      <w:pPr>
        <w:pStyle w:val="FirstParagraph"/>
      </w:pPr>
      <w:r>
        <w:rPr>
          <w:rFonts w:ascii="Times New Roman" w:hAnsi="Times New Roman"/>
        </w:rPr>
        <w:t xml:space="preserve">The originally registered P2 statistic is sign agreement against 10,000 random gene sets. For a fixed set statistic</w:t>
      </w:r>
      <w:r>
        <w:rPr>
          <w:rFonts w:ascii="Times New Roman" w:hAnsi="Times New Roman"/>
        </w:rPr>
        <w:t xml:space="preserve"> </w:t>
      </w:r>
      <w:r>
        <w:rPr>
          <w:rFonts w:ascii="Times New Roman" w:hAnsi="Times New Roman"/>
        </w:rPr>
        <w:drawing>
          <wp:inline>
            <wp:extent cx="91440" cy="91440"/>
            <wp:effectExtent b="0" l="0" r="0" t="0"/>
            <wp:docPr descr="image" title="" id="1" name="Picture"/>
            <a:graphic>
              <a:graphicData uri="http://schemas.openxmlformats.org/drawingml/2006/picture">
                <pic:pic>
                  <pic:nvPicPr>
                    <pic:cNvPr descr="equations/in033.png" id="0" name="Picture"/>
                    <pic:cNvPicPr>
                      <a:picLocks noChangeArrowheads="1" noChangeAspect="1"/>
                    </pic:cNvPicPr>
                  </pic:nvPicPr>
                  <pic:blipFill>
                    <a:blip r:embed="rId70"/>
                    <a:stretch>
                      <a:fillRect/>
                    </a:stretch>
                  </pic:blipFill>
                  <pic:spPr bwMode="auto">
                    <a:xfrm>
                      <a:off x="0" y="0"/>
                      <a:ext cx="91440" cy="9144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drawing>
          <wp:inline>
            <wp:extent cx="622300" cy="113884"/>
            <wp:effectExtent b="0" l="0" r="0" t="0"/>
            <wp:docPr descr="image" title="" id="1" name="Picture"/>
            <a:graphic>
              <a:graphicData uri="http://schemas.openxmlformats.org/drawingml/2006/picture">
                <pic:pic>
                  <pic:nvPicPr>
                    <pic:cNvPr descr="equations/in034.png" id="0" name="Picture"/>
                    <pic:cNvPicPr>
                      <a:picLocks noChangeArrowheads="1" noChangeAspect="1"/>
                    </pic:cNvPicPr>
                  </pic:nvPicPr>
                  <pic:blipFill>
                    <a:blip r:embed="rId71"/>
                    <a:stretch>
                      <a:fillRect/>
                    </a:stretch>
                  </pic:blipFill>
                  <pic:spPr bwMode="auto">
                    <a:xfrm>
                      <a:off x="0" y="0"/>
                      <a:ext cx="622300" cy="113884"/>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random sets, the empirical tail probability is</w:t>
      </w:r>
    </w:p>
    <w:p>
      <w:pPr>
        <w:pStyle w:val="BodyText"/>
      </w:pPr>
      <w:r>
        <w:rPr>
          <w:rFonts w:ascii="Times New Roman" w:hAnsi="Times New Roman"/>
        </w:rPr>
        <w:drawing>
          <wp:inline>
            <wp:extent cx="1758950" cy="303966"/>
            <wp:effectExtent b="0" l="0" r="0" t="0"/>
            <wp:docPr descr="image" title="" id="1" name="Picture"/>
            <a:graphic>
              <a:graphicData uri="http://schemas.openxmlformats.org/drawingml/2006/picture">
                <pic:pic>
                  <pic:nvPicPr>
                    <pic:cNvPr descr="equations/eq11.png" id="0" name="Picture"/>
                    <pic:cNvPicPr>
                      <a:picLocks noChangeArrowheads="1" noChangeAspect="1"/>
                    </pic:cNvPicPr>
                  </pic:nvPicPr>
                  <pic:blipFill>
                    <a:blip r:embed="rId72"/>
                    <a:stretch>
                      <a:fillRect/>
                    </a:stretch>
                  </pic:blipFill>
                  <pic:spPr bwMode="auto">
                    <a:xfrm>
                      <a:off x="0" y="0"/>
                      <a:ext cx="1758950" cy="303966"/>
                    </a:xfrm>
                    <a:prstGeom prst="rect">
                      <a:avLst/>
                    </a:prstGeom>
                    <a:noFill/>
                    <a:ln w="9525">
                      <a:noFill/>
                      <a:headEnd/>
                      <a:tailEnd/>
                    </a:ln>
                  </pic:spPr>
                </pic:pic>
              </a:graphicData>
            </a:graphic>
          </wp:inline>
        </w:drawing>
      </w:r>
      <w:r>
        <w:rPr>
          <w:rFonts w:ascii="Times New Roman" w:hAnsi="Times New Roman"/>
        </w:rPr>
        <w:br/>
      </w:r>
      <w:r>
        <w:rPr>
          <w:rFonts w:ascii="Times New Roman" w:hAnsi="Times New Roman"/>
        </w:rPr>
        <w:t xml:space="preserve">(11)</w:t>
      </w:r>
    </w:p>
    <w:p>
      <w:pPr>
        <w:pStyle w:val="BodyText"/>
      </w:pPr>
      <w:r>
        <w:rPr>
          <w:rFonts w:ascii="Times New Roman" w:hAnsi="Times New Roman"/>
        </w:rPr>
        <w:t xml:space="preserve">The next table lists all disease outcomes, including those with no usable validation cohort. The secondary T2 count combines matching sign with nominal within-validation</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035.png" id="0" name="Picture"/>
                    <pic:cNvPicPr>
                      <a:picLocks noChangeArrowheads="1" noChangeAspect="1"/>
                    </pic:cNvPicPr>
                  </pic:nvPicPr>
                  <pic:blipFill>
                    <a:blip r:embed="rId73"/>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is also compared against the same gene-universe sampling logic. Repeating a signature test over many genes does not multiply the sample size: the unit of transport is the held-out cohort. A perfect concordance in seven interstitial cystitis validation samples is particularly fragile and requires a larger independent cohort. PCOS has a sign-set pass but no discovery gene at</w:t>
      </w:r>
      <w:r>
        <w:rPr>
          <w:rFonts w:ascii="Times New Roman" w:hAnsi="Times New Roman"/>
        </w:rPr>
        <w:t xml:space="preserve"> </w:t>
      </w:r>
      <w:r>
        <w:rPr>
          <w:rFonts w:ascii="Times New Roman" w:hAnsi="Times New Roman"/>
        </w:rPr>
        <w:drawing>
          <wp:inline>
            <wp:extent cx="454659" cy="101486"/>
            <wp:effectExtent b="0" l="0" r="0" t="0"/>
            <wp:docPr descr="image" title="" id="1" name="Picture"/>
            <a:graphic>
              <a:graphicData uri="http://schemas.openxmlformats.org/drawingml/2006/picture">
                <pic:pic>
                  <pic:nvPicPr>
                    <pic:cNvPr descr="equations/in036.png" id="0" name="Picture"/>
                    <pic:cNvPicPr>
                      <a:picLocks noChangeArrowheads="1" noChangeAspect="1"/>
                    </pic:cNvPicPr>
                  </pic:nvPicPr>
                  <pic:blipFill>
                    <a:blip r:embed="rId74"/>
                    <a:stretch>
                      <a:fillRect/>
                    </a:stretch>
                  </pic:blipFill>
                  <pic:spPr bwMode="auto">
                    <a:xfrm>
                      <a:off x="0" y="0"/>
                      <a:ext cx="454659" cy="101486"/>
                    </a:xfrm>
                    <a:prstGeom prst="rect">
                      <a:avLst/>
                    </a:prstGeom>
                    <a:noFill/>
                    <a:ln w="9525">
                      <a:noFill/>
                      <a:headEnd/>
                      <a:tailEnd/>
                    </a:ln>
                  </pic:spPr>
                </pic:pic>
              </a:graphicData>
            </a:graphic>
          </wp:inline>
        </w:drawing>
      </w:r>
      <w:r>
        <w:rPr>
          <w:rFonts w:ascii="Times New Roman" w:hAnsi="Times New Roman"/>
        </w:rPr>
        <w:t xml:space="preserve">, and later fresh-cohort tests show mixed transport. Preeclampsia’s earlier apparent pass was invalidated by GSM overlap, as recorded rather than removed.</w:t>
      </w:r>
    </w:p>
    <w:p>
      <w:pPr>
        <w:pStyle w:val="TableCaption"/>
      </w:pPr>
      <w:r>
        <w:rPr>
          <w:rFonts w:ascii="Times New Roman" w:hAnsi="Times New Roman"/>
        </w:rPr>
        <w:t xml:space="preserve">Complete deduplicated top-50 discovery-signature replication results. T2 is the number of same-direction validation genes with nominal two-sided p below 0.05, assessed against random-gene sets; neither T2 nor the sign test is a clinical diagnostic metric.</w:t>
      </w:r>
    </w:p>
    <w:tbl>
      <w:tblPr>
        <w:tblStyle w:val="Table"/>
        <w:tblW w:type="pct" w:w="0.0"/>
        <w:tblLayout w:type="fixed"/>
        <w:tblLook w:firstRow="1"/>
        <w:tblCaption w:val="Complete deduplicated top-50 discovery-signature replication results. T2 is the number of same-direction validation genes with nominal two-sided p below 0.05, assessed against random-gene sets; neither T2 nor the sign test is a clinical diagnostic metric."/>
      </w:tblPr>
      <w:tblGrid>
        <w:gridCol w:w="1848"/>
        <w:gridCol w:w="1938"/>
        <w:gridCol w:w="1030"/>
        <w:gridCol w:w="1030"/>
        <w:gridCol w:w="1030"/>
        <w:gridCol w:w="1363"/>
        <w:gridCol w:w="1136"/>
      </w:tblGrid>
      <w:tr>
        <w:trPr>
          <w:cnfStyle w:firstRow="1"/>
        </w:trPr>
        <w:tc>
          <w:tcPr>
            <w:tcW w:type="dxa" w:w="1848"/>
            <w:tcBorders>
              <w:bottom w:val="single"/>
            </w:tcBorders>
            <w:vAlign w:val="bottom"/>
          </w:tcPr>
          <w:p>
            <w:pPr>
              <w:pStyle w:val="Compact"/>
              <w:jc w:val="left"/>
            </w:pPr>
            <w:r>
              <w:rPr>
                <w:rFonts w:ascii="Times New Roman" w:hAnsi="Times New Roman"/>
                <w:sz w:val="17"/>
              </w:rPr>
              <w:t xml:space="preserve">Disease</w:t>
            </w:r>
          </w:p>
        </w:tc>
        <w:tc>
          <w:tcPr>
            <w:tcW w:type="dxa" w:w="1938"/>
            <w:tcBorders>
              <w:bottom w:val="single"/>
            </w:tcBorders>
            <w:vAlign w:val="bottom"/>
          </w:tcPr>
          <w:p>
            <w:pPr>
              <w:pStyle w:val="Compact"/>
              <w:jc w:val="left"/>
            </w:pPr>
            <w:r>
              <w:rPr>
                <w:rFonts w:ascii="Times New Roman" w:hAnsi="Times New Roman"/>
                <w:sz w:val="17"/>
              </w:rPr>
              <w:t xml:space="preserve">GEO validation</w:t>
            </w:r>
          </w:p>
        </w:tc>
        <w:tc>
          <w:tcPr>
            <w:tcW w:type="dxa" w:w="1030"/>
            <w:tcBorders>
              <w:bottom w:val="single"/>
            </w:tcBorders>
            <w:vAlign w:val="bottom"/>
          </w:tcPr>
          <w:p>
            <w:pPr>
              <w:pStyle w:val="Compact"/>
              <w:jc w:val="right"/>
            </w:pPr>
            <w:r>
              <w:rPr>
                <w:rFonts w:ascii="Times New Roman" w:hAnsi="Times New Roman"/>
                <w:sz w:val="17"/>
              </w:rPr>
              <w:t xml:space="preserve">Genes</w:t>
            </w:r>
          </w:p>
        </w:tc>
        <w:tc>
          <w:tcPr>
            <w:tcW w:type="dxa" w:w="1030"/>
            <w:tcBorders>
              <w:bottom w:val="single"/>
            </w:tcBorders>
            <w:vAlign w:val="bottom"/>
          </w:tcPr>
          <w:p>
            <w:pPr>
              <w:pStyle w:val="Compact"/>
              <w:jc w:val="right"/>
            </w:pPr>
            <w:r>
              <w:rPr>
                <w:rFonts w:ascii="Times New Roman" w:hAnsi="Times New Roman"/>
                <w:sz w:val="17"/>
              </w:rPr>
              <w:t xml:space="preserve">Sign frac.</w:t>
            </w:r>
          </w:p>
        </w:tc>
        <w:tc>
          <w:tcPr>
            <w:tcW w:type="dxa" w:w="1030"/>
            <w:tcBorders>
              <w:bottom w:val="single"/>
            </w:tcBorders>
            <w:vAlign w:val="bottom"/>
          </w:tcPr>
          <w:p>
            <w:pPr>
              <w:pStyle w:val="Compact"/>
              <w:jc w:val="right"/>
            </w:pPr>
            <w:r>
              <w:rPr>
                <w:rFonts w:ascii="Times New Roman" w:hAnsi="Times New Roman"/>
                <w:sz w:val="17"/>
              </w:rPr>
              <w:t xml:space="preserve">Emp. p</w:t>
            </w:r>
          </w:p>
        </w:tc>
        <w:tc>
          <w:tcPr>
            <w:tcW w:type="dxa" w:w="1363"/>
            <w:tcBorders>
              <w:bottom w:val="single"/>
            </w:tcBorders>
            <w:vAlign w:val="bottom"/>
          </w:tcPr>
          <w:p>
            <w:pPr>
              <w:pStyle w:val="Compact"/>
              <w:jc w:val="right"/>
            </w:pPr>
            <w:r>
              <w:rPr>
                <w:rFonts w:ascii="Times New Roman" w:hAnsi="Times New Roman"/>
                <w:sz w:val="17"/>
              </w:rPr>
              <w:t xml:space="preserve">T2</w:t>
            </w:r>
          </w:p>
        </w:tc>
        <w:tc>
          <w:tcPr>
            <w:tcW w:type="dxa" w:w="1136"/>
            <w:tcBorders>
              <w:bottom w:val="single"/>
            </w:tcBorders>
            <w:vAlign w:val="bottom"/>
          </w:tcPr>
          <w:p>
            <w:pPr>
              <w:pStyle w:val="Compact"/>
              <w:jc w:val="right"/>
            </w:pPr>
            <w:r>
              <w:rPr>
                <w:rFonts w:ascii="Times New Roman" w:hAnsi="Times New Roman"/>
                <w:sz w:val="17"/>
              </w:rPr>
              <w:t xml:space="preserve">T2 p</w:t>
            </w:r>
          </w:p>
        </w:tc>
      </w:tr>
      <w:tr>
        <w:tc>
          <w:tcPr>
            <w:tcW w:type="dxa" w:w="1848"/>
          </w:tcPr>
          <w:p>
            <w:pPr>
              <w:pStyle w:val="Compact"/>
              <w:jc w:val="left"/>
            </w:pPr>
            <w:r>
              <w:rPr>
                <w:rFonts w:ascii="Times New Roman" w:hAnsi="Times New Roman"/>
                <w:sz w:val="17"/>
              </w:rPr>
              <w:t xml:space="preserve">chagas</w:t>
            </w:r>
          </w:p>
        </w:tc>
        <w:tc>
          <w:tcPr>
            <w:tcW w:type="dxa" w:w="1938"/>
          </w:tcPr>
          <w:p>
            <w:pPr>
              <w:pStyle w:val="Compact"/>
              <w:jc w:val="left"/>
            </w:pPr>
            <w:r>
              <w:rPr>
                <w:rFonts w:ascii="Times New Roman" w:hAnsi="Times New Roman"/>
                <w:sz w:val="17"/>
              </w:rPr>
              <w:t xml:space="preserve">none</w:t>
            </w:r>
          </w:p>
        </w:tc>
        <w:tc>
          <w:tcPr>
            <w:tcW w:type="dxa" w:w="1030"/>
          </w:tcPr>
          <w:p>
            <w:pPr>
              <w:pStyle w:val="Compact"/>
              <w:jc w:val="right"/>
            </w:pPr>
            <w:r>
              <w:rPr>
                <w:rFonts w:ascii="Times New Roman" w:hAnsi="Times New Roman"/>
                <w:sz w:val="17"/>
              </w:rPr>
              <w:t xml:space="preserve">–</w:t>
            </w:r>
          </w:p>
        </w:tc>
        <w:tc>
          <w:tcPr>
            <w:tcW w:type="dxa" w:w="1030"/>
          </w:tcPr>
          <w:p>
            <w:pPr>
              <w:pStyle w:val="Compact"/>
              <w:jc w:val="right"/>
            </w:pPr>
            <w:r>
              <w:rPr>
                <w:rFonts w:ascii="Times New Roman" w:hAnsi="Times New Roman"/>
                <w:sz w:val="17"/>
              </w:rPr>
              <w:t xml:space="preserve">–</w:t>
            </w:r>
          </w:p>
        </w:tc>
        <w:tc>
          <w:tcPr>
            <w:tcW w:type="dxa" w:w="1030"/>
          </w:tcPr>
          <w:p>
            <w:pPr>
              <w:pStyle w:val="Compact"/>
              <w:jc w:val="right"/>
            </w:pPr>
            <w:r>
              <w:rPr>
                <w:rFonts w:ascii="Times New Roman" w:hAnsi="Times New Roman"/>
                <w:sz w:val="17"/>
              </w:rPr>
              <w:t xml:space="preserve">–</w:t>
            </w:r>
          </w:p>
        </w:tc>
        <w:tc>
          <w:tcPr>
            <w:tcW w:type="dxa" w:w="1363"/>
          </w:tcPr>
          <w:p>
            <w:pPr>
              <w:pStyle w:val="Compact"/>
              <w:jc w:val="right"/>
            </w:pPr>
            <w:r>
              <w:rPr>
                <w:rFonts w:ascii="Times New Roman" w:hAnsi="Times New Roman"/>
                <w:sz w:val="17"/>
              </w:rPr>
              <w:t xml:space="preserve">–</w:t>
            </w:r>
          </w:p>
        </w:tc>
        <w:tc>
          <w:tcPr>
            <w:tcW w:type="dxa" w:w="1136"/>
          </w:tcPr>
          <w:p>
            <w:pPr>
              <w:pStyle w:val="Compact"/>
              <w:jc w:val="right"/>
            </w:pPr>
            <w:r>
              <w:rPr>
                <w:rFonts w:ascii="Times New Roman" w:hAnsi="Times New Roman"/>
                <w:sz w:val="17"/>
              </w:rPr>
              <w:t xml:space="preserve">–</w:t>
            </w:r>
          </w:p>
        </w:tc>
      </w:tr>
      <w:tr>
        <w:tc>
          <w:tcPr>
            <w:tcW w:type="dxa" w:w="1848"/>
          </w:tcPr>
          <w:p>
            <w:pPr>
              <w:pStyle w:val="Compact"/>
              <w:jc w:val="left"/>
            </w:pPr>
            <w:r>
              <w:rPr>
                <w:rFonts w:ascii="Times New Roman" w:hAnsi="Times New Roman"/>
                <w:sz w:val="17"/>
              </w:rPr>
              <w:t xml:space="preserve">endometriosis</w:t>
            </w:r>
          </w:p>
        </w:tc>
        <w:tc>
          <w:tcPr>
            <w:tcW w:type="dxa" w:w="1938"/>
          </w:tcPr>
          <w:p>
            <w:pPr>
              <w:pStyle w:val="Compact"/>
              <w:jc w:val="left"/>
            </w:pPr>
            <w:r>
              <w:rPr>
                <w:rFonts w:ascii="Times New Roman" w:hAnsi="Times New Roman"/>
                <w:sz w:val="17"/>
              </w:rPr>
              <w:t xml:space="preserve">GSE58178; GSE73622; GSE120103; GSE248593</w:t>
            </w:r>
          </w:p>
        </w:tc>
        <w:tc>
          <w:tcPr>
            <w:tcW w:type="dxa" w:w="1030"/>
          </w:tcPr>
          <w:p>
            <w:pPr>
              <w:pStyle w:val="Compact"/>
              <w:jc w:val="right"/>
            </w:pPr>
            <w:r>
              <w:rPr>
                <w:rFonts w:ascii="Times New Roman" w:hAnsi="Times New Roman"/>
                <w:sz w:val="17"/>
              </w:rPr>
              <w:t xml:space="preserve">47</w:t>
            </w:r>
          </w:p>
        </w:tc>
        <w:tc>
          <w:tcPr>
            <w:tcW w:type="dxa" w:w="1030"/>
          </w:tcPr>
          <w:p>
            <w:pPr>
              <w:pStyle w:val="Compact"/>
              <w:jc w:val="right"/>
            </w:pPr>
            <w:r>
              <w:rPr>
                <w:rFonts w:ascii="Times New Roman" w:hAnsi="Times New Roman"/>
                <w:sz w:val="17"/>
              </w:rPr>
              <w:t xml:space="preserve">0.64</w:t>
            </w:r>
          </w:p>
        </w:tc>
        <w:tc>
          <w:tcPr>
            <w:tcW w:type="dxa" w:w="1030"/>
          </w:tcPr>
          <w:p>
            <w:pPr>
              <w:pStyle w:val="Compact"/>
              <w:jc w:val="right"/>
            </w:pPr>
            <w:r>
              <w:rPr>
                <w:rFonts w:ascii="Times New Roman" w:hAnsi="Times New Roman"/>
                <w:sz w:val="17"/>
              </w:rPr>
              <w:t xml:space="preserve">0.1402</w:t>
            </w:r>
          </w:p>
        </w:tc>
        <w:tc>
          <w:tcPr>
            <w:tcW w:type="dxa" w:w="1363"/>
          </w:tcPr>
          <w:p>
            <w:pPr>
              <w:pStyle w:val="Compact"/>
              <w:jc w:val="right"/>
            </w:pPr>
            <w:r>
              <w:rPr>
                <w:rFonts w:ascii="Times New Roman" w:hAnsi="Times New Roman"/>
                <w:sz w:val="17"/>
              </w:rPr>
              <w:t xml:space="preserve">2</w:t>
            </w:r>
          </w:p>
        </w:tc>
        <w:tc>
          <w:tcPr>
            <w:tcW w:type="dxa" w:w="1136"/>
          </w:tcPr>
          <w:p>
            <w:pPr>
              <w:pStyle w:val="Compact"/>
              <w:jc w:val="right"/>
            </w:pPr>
            <w:r>
              <w:rPr>
                <w:rFonts w:ascii="Times New Roman" w:hAnsi="Times New Roman"/>
                <w:sz w:val="17"/>
              </w:rPr>
              <w:t xml:space="preserve">0.6903</w:t>
            </w:r>
          </w:p>
        </w:tc>
      </w:tr>
      <w:tr>
        <w:tc>
          <w:tcPr>
            <w:tcW w:type="dxa" w:w="1848"/>
          </w:tcPr>
          <w:p>
            <w:pPr>
              <w:pStyle w:val="Compact"/>
              <w:jc w:val="left"/>
            </w:pPr>
            <w:r>
              <w:rPr>
                <w:rFonts w:ascii="Times New Roman" w:hAnsi="Times New Roman"/>
                <w:sz w:val="17"/>
              </w:rPr>
              <w:t xml:space="preserve">fibromyalgia</w:t>
            </w:r>
          </w:p>
        </w:tc>
        <w:tc>
          <w:tcPr>
            <w:tcW w:type="dxa" w:w="1938"/>
          </w:tcPr>
          <w:p>
            <w:pPr>
              <w:pStyle w:val="Compact"/>
              <w:jc w:val="left"/>
            </w:pPr>
            <w:r>
              <w:rPr>
                <w:rFonts w:ascii="Times New Roman" w:hAnsi="Times New Roman"/>
                <w:sz w:val="17"/>
              </w:rPr>
              <w:t xml:space="preserve">none</w:t>
            </w:r>
          </w:p>
        </w:tc>
        <w:tc>
          <w:tcPr>
            <w:tcW w:type="dxa" w:w="1030"/>
          </w:tcPr>
          <w:p>
            <w:pPr>
              <w:pStyle w:val="Compact"/>
              <w:jc w:val="right"/>
            </w:pPr>
            <w:r>
              <w:rPr>
                <w:rFonts w:ascii="Times New Roman" w:hAnsi="Times New Roman"/>
                <w:sz w:val="17"/>
              </w:rPr>
              <w:t xml:space="preserve">–</w:t>
            </w:r>
          </w:p>
        </w:tc>
        <w:tc>
          <w:tcPr>
            <w:tcW w:type="dxa" w:w="1030"/>
          </w:tcPr>
          <w:p>
            <w:pPr>
              <w:pStyle w:val="Compact"/>
              <w:jc w:val="right"/>
            </w:pPr>
            <w:r>
              <w:rPr>
                <w:rFonts w:ascii="Times New Roman" w:hAnsi="Times New Roman"/>
                <w:sz w:val="17"/>
              </w:rPr>
              <w:t xml:space="preserve">–</w:t>
            </w:r>
          </w:p>
        </w:tc>
        <w:tc>
          <w:tcPr>
            <w:tcW w:type="dxa" w:w="1030"/>
          </w:tcPr>
          <w:p>
            <w:pPr>
              <w:pStyle w:val="Compact"/>
              <w:jc w:val="right"/>
            </w:pPr>
            <w:r>
              <w:rPr>
                <w:rFonts w:ascii="Times New Roman" w:hAnsi="Times New Roman"/>
                <w:sz w:val="17"/>
              </w:rPr>
              <w:t xml:space="preserve">–</w:t>
            </w:r>
          </w:p>
        </w:tc>
        <w:tc>
          <w:tcPr>
            <w:tcW w:type="dxa" w:w="1363"/>
          </w:tcPr>
          <w:p>
            <w:pPr>
              <w:pStyle w:val="Compact"/>
              <w:jc w:val="right"/>
            </w:pPr>
            <w:r>
              <w:rPr>
                <w:rFonts w:ascii="Times New Roman" w:hAnsi="Times New Roman"/>
                <w:sz w:val="17"/>
              </w:rPr>
              <w:t xml:space="preserve">–</w:t>
            </w:r>
          </w:p>
        </w:tc>
        <w:tc>
          <w:tcPr>
            <w:tcW w:type="dxa" w:w="1136"/>
          </w:tcPr>
          <w:p>
            <w:pPr>
              <w:pStyle w:val="Compact"/>
              <w:jc w:val="right"/>
            </w:pPr>
            <w:r>
              <w:rPr>
                <w:rFonts w:ascii="Times New Roman" w:hAnsi="Times New Roman"/>
                <w:sz w:val="17"/>
              </w:rPr>
              <w:t xml:space="preserve">–</w:t>
            </w:r>
          </w:p>
        </w:tc>
      </w:tr>
      <w:tr>
        <w:tc>
          <w:tcPr>
            <w:tcW w:type="dxa" w:w="1848"/>
          </w:tcPr>
          <w:p>
            <w:pPr>
              <w:pStyle w:val="Compact"/>
              <w:jc w:val="left"/>
            </w:pPr>
            <w:r>
              <w:rPr>
                <w:rFonts w:ascii="Times New Roman" w:hAnsi="Times New Roman"/>
                <w:sz w:val="17"/>
              </w:rPr>
              <w:t xml:space="preserve">interstitial_cystitis</w:t>
            </w:r>
          </w:p>
        </w:tc>
        <w:tc>
          <w:tcPr>
            <w:tcW w:type="dxa" w:w="1938"/>
          </w:tcPr>
          <w:p>
            <w:pPr>
              <w:pStyle w:val="Compact"/>
              <w:jc w:val="left"/>
            </w:pPr>
            <w:r>
              <w:rPr>
                <w:rFonts w:ascii="Times New Roman" w:hAnsi="Times New Roman"/>
                <w:sz w:val="17"/>
              </w:rPr>
              <w:t xml:space="preserve">GSE57560</w:t>
            </w:r>
          </w:p>
        </w:tc>
        <w:tc>
          <w:tcPr>
            <w:tcW w:type="dxa" w:w="1030"/>
          </w:tcPr>
          <w:p>
            <w:pPr>
              <w:pStyle w:val="Compact"/>
              <w:jc w:val="right"/>
            </w:pPr>
            <w:r>
              <w:rPr>
                <w:rFonts w:ascii="Times New Roman" w:hAnsi="Times New Roman"/>
                <w:sz w:val="17"/>
              </w:rPr>
              <w:t xml:space="preserve">40</w:t>
            </w:r>
          </w:p>
        </w:tc>
        <w:tc>
          <w:tcPr>
            <w:tcW w:type="dxa" w:w="1030"/>
          </w:tcPr>
          <w:p>
            <w:pPr>
              <w:pStyle w:val="Compact"/>
              <w:jc w:val="right"/>
            </w:pPr>
            <w:r>
              <w:rPr>
                <w:rFonts w:ascii="Times New Roman" w:hAnsi="Times New Roman"/>
                <w:sz w:val="17"/>
              </w:rPr>
              <w:t xml:space="preserve">1.00</w:t>
            </w:r>
          </w:p>
        </w:tc>
        <w:tc>
          <w:tcPr>
            <w:tcW w:type="dxa" w:w="1030"/>
          </w:tcPr>
          <w:p>
            <w:pPr>
              <w:pStyle w:val="Compact"/>
              <w:jc w:val="right"/>
            </w:pPr>
            <w:r>
              <w:rPr>
                <w:rFonts w:ascii="Times New Roman" w:hAnsi="Times New Roman"/>
                <w:sz w:val="17"/>
              </w:rPr>
              <w:t xml:space="preserve">0.0001</w:t>
            </w:r>
          </w:p>
        </w:tc>
        <w:tc>
          <w:tcPr>
            <w:tcW w:type="dxa" w:w="1363"/>
          </w:tcPr>
          <w:p>
            <w:pPr>
              <w:pStyle w:val="Compact"/>
              <w:jc w:val="right"/>
            </w:pPr>
            <w:r>
              <w:rPr>
                <w:rFonts w:ascii="Times New Roman" w:hAnsi="Times New Roman"/>
                <w:sz w:val="17"/>
              </w:rPr>
              <w:t xml:space="preserve">22</w:t>
            </w:r>
          </w:p>
        </w:tc>
        <w:tc>
          <w:tcPr>
            <w:tcW w:type="dxa" w:w="1136"/>
          </w:tcPr>
          <w:p>
            <w:pPr>
              <w:pStyle w:val="Compact"/>
              <w:jc w:val="right"/>
            </w:pPr>
            <w:r>
              <w:rPr>
                <w:rFonts w:ascii="Times New Roman" w:hAnsi="Times New Roman"/>
                <w:sz w:val="17"/>
              </w:rPr>
              <w:t xml:space="preserve">0.0001</w:t>
            </w:r>
          </w:p>
        </w:tc>
      </w:tr>
      <w:tr>
        <w:tc>
          <w:tcPr>
            <w:tcW w:type="dxa" w:w="1848"/>
          </w:tcPr>
          <w:p>
            <w:pPr>
              <w:pStyle w:val="Compact"/>
              <w:jc w:val="left"/>
            </w:pPr>
            <w:r>
              <w:rPr>
                <w:rFonts w:ascii="Times New Roman" w:hAnsi="Times New Roman"/>
                <w:sz w:val="17"/>
              </w:rPr>
              <w:t xml:space="preserve">leishmaniasis</w:t>
            </w:r>
          </w:p>
        </w:tc>
        <w:tc>
          <w:tcPr>
            <w:tcW w:type="dxa" w:w="1938"/>
          </w:tcPr>
          <w:p>
            <w:pPr>
              <w:pStyle w:val="Compact"/>
              <w:jc w:val="left"/>
            </w:pPr>
            <w:r>
              <w:rPr>
                <w:rFonts w:ascii="Times New Roman" w:hAnsi="Times New Roman"/>
                <w:sz w:val="17"/>
              </w:rPr>
              <w:t xml:space="preserve">GSE125993</w:t>
            </w:r>
          </w:p>
        </w:tc>
        <w:tc>
          <w:tcPr>
            <w:tcW w:type="dxa" w:w="1030"/>
          </w:tcPr>
          <w:p>
            <w:pPr>
              <w:pStyle w:val="Compact"/>
              <w:jc w:val="right"/>
            </w:pPr>
            <w:r>
              <w:rPr>
                <w:rFonts w:ascii="Times New Roman" w:hAnsi="Times New Roman"/>
                <w:sz w:val="17"/>
              </w:rPr>
              <w:t xml:space="preserve">43</w:t>
            </w:r>
          </w:p>
        </w:tc>
        <w:tc>
          <w:tcPr>
            <w:tcW w:type="dxa" w:w="1030"/>
          </w:tcPr>
          <w:p>
            <w:pPr>
              <w:pStyle w:val="Compact"/>
              <w:jc w:val="right"/>
            </w:pPr>
            <w:r>
              <w:rPr>
                <w:rFonts w:ascii="Times New Roman" w:hAnsi="Times New Roman"/>
                <w:sz w:val="17"/>
              </w:rPr>
              <w:t xml:space="preserve">0.44</w:t>
            </w:r>
          </w:p>
        </w:tc>
        <w:tc>
          <w:tcPr>
            <w:tcW w:type="dxa" w:w="1030"/>
          </w:tcPr>
          <w:p>
            <w:pPr>
              <w:pStyle w:val="Compact"/>
              <w:jc w:val="right"/>
            </w:pPr>
            <w:r>
              <w:rPr>
                <w:rFonts w:ascii="Times New Roman" w:hAnsi="Times New Roman"/>
                <w:sz w:val="17"/>
              </w:rPr>
              <w:t xml:space="preserve">0.8496</w:t>
            </w:r>
          </w:p>
        </w:tc>
        <w:tc>
          <w:tcPr>
            <w:tcW w:type="dxa" w:w="1363"/>
          </w:tcPr>
          <w:p>
            <w:pPr>
              <w:pStyle w:val="Compact"/>
              <w:jc w:val="right"/>
            </w:pPr>
            <w:r>
              <w:rPr>
                <w:rFonts w:ascii="Times New Roman" w:hAnsi="Times New Roman"/>
                <w:sz w:val="17"/>
              </w:rPr>
              <w:t xml:space="preserve">4</w:t>
            </w:r>
          </w:p>
        </w:tc>
        <w:tc>
          <w:tcPr>
            <w:tcW w:type="dxa" w:w="1136"/>
          </w:tcPr>
          <w:p>
            <w:pPr>
              <w:pStyle w:val="Compact"/>
              <w:jc w:val="right"/>
            </w:pPr>
            <w:r>
              <w:rPr>
                <w:rFonts w:ascii="Times New Roman" w:hAnsi="Times New Roman"/>
                <w:sz w:val="17"/>
              </w:rPr>
              <w:t xml:space="preserve">0.5523</w:t>
            </w:r>
          </w:p>
        </w:tc>
      </w:tr>
      <w:tr>
        <w:tc>
          <w:tcPr>
            <w:tcW w:type="dxa" w:w="1848"/>
          </w:tcPr>
          <w:p>
            <w:pPr>
              <w:pStyle w:val="Compact"/>
              <w:jc w:val="left"/>
            </w:pPr>
            <w:r>
              <w:rPr>
                <w:rFonts w:ascii="Times New Roman" w:hAnsi="Times New Roman"/>
                <w:sz w:val="17"/>
              </w:rPr>
              <w:t xml:space="preserve">me_cfs</w:t>
            </w:r>
          </w:p>
        </w:tc>
        <w:tc>
          <w:tcPr>
            <w:tcW w:type="dxa" w:w="1938"/>
          </w:tcPr>
          <w:p>
            <w:pPr>
              <w:pStyle w:val="Compact"/>
              <w:jc w:val="left"/>
            </w:pPr>
            <w:r>
              <w:rPr>
                <w:rFonts w:ascii="Times New Roman" w:hAnsi="Times New Roman"/>
                <w:sz w:val="17"/>
              </w:rPr>
              <w:t xml:space="preserve">GSE16059</w:t>
            </w:r>
          </w:p>
        </w:tc>
        <w:tc>
          <w:tcPr>
            <w:tcW w:type="dxa" w:w="1030"/>
          </w:tcPr>
          <w:p>
            <w:pPr>
              <w:pStyle w:val="Compact"/>
              <w:jc w:val="right"/>
            </w:pPr>
            <w:r>
              <w:rPr>
                <w:rFonts w:ascii="Times New Roman" w:hAnsi="Times New Roman"/>
                <w:sz w:val="17"/>
              </w:rPr>
              <w:t xml:space="preserve">50</w:t>
            </w:r>
          </w:p>
        </w:tc>
        <w:tc>
          <w:tcPr>
            <w:tcW w:type="dxa" w:w="1030"/>
          </w:tcPr>
          <w:p>
            <w:pPr>
              <w:pStyle w:val="Compact"/>
              <w:jc w:val="right"/>
            </w:pPr>
            <w:r>
              <w:rPr>
                <w:rFonts w:ascii="Times New Roman" w:hAnsi="Times New Roman"/>
                <w:sz w:val="17"/>
              </w:rPr>
              <w:t xml:space="preserve">0.30</w:t>
            </w:r>
          </w:p>
        </w:tc>
        <w:tc>
          <w:tcPr>
            <w:tcW w:type="dxa" w:w="1030"/>
          </w:tcPr>
          <w:p>
            <w:pPr>
              <w:pStyle w:val="Compact"/>
              <w:jc w:val="right"/>
            </w:pPr>
            <w:r>
              <w:rPr>
                <w:rFonts w:ascii="Times New Roman" w:hAnsi="Times New Roman"/>
                <w:sz w:val="17"/>
              </w:rPr>
              <w:t xml:space="preserve">0.9831</w:t>
            </w:r>
          </w:p>
        </w:tc>
        <w:tc>
          <w:tcPr>
            <w:tcW w:type="dxa" w:w="1363"/>
          </w:tcPr>
          <w:p>
            <w:pPr>
              <w:pStyle w:val="Compact"/>
              <w:jc w:val="right"/>
            </w:pPr>
            <w:r>
              <w:rPr>
                <w:rFonts w:ascii="Times New Roman" w:hAnsi="Times New Roman"/>
                <w:sz w:val="17"/>
              </w:rPr>
              <w:t xml:space="preserve">0</w:t>
            </w:r>
          </w:p>
        </w:tc>
        <w:tc>
          <w:tcPr>
            <w:tcW w:type="dxa" w:w="1136"/>
          </w:tcPr>
          <w:p>
            <w:pPr>
              <w:pStyle w:val="Compact"/>
              <w:jc w:val="right"/>
            </w:pPr>
            <w:r>
              <w:rPr>
                <w:rFonts w:ascii="Times New Roman" w:hAnsi="Times New Roman"/>
                <w:sz w:val="17"/>
              </w:rPr>
              <w:t xml:space="preserve">1.0000</w:t>
            </w:r>
          </w:p>
        </w:tc>
      </w:tr>
      <w:tr>
        <w:tc>
          <w:tcPr>
            <w:tcW w:type="dxa" w:w="1848"/>
          </w:tcPr>
          <w:p>
            <w:pPr>
              <w:pStyle w:val="Compact"/>
              <w:jc w:val="left"/>
            </w:pPr>
            <w:r>
              <w:rPr>
                <w:rFonts w:ascii="Times New Roman" w:hAnsi="Times New Roman"/>
                <w:sz w:val="17"/>
              </w:rPr>
              <w:t xml:space="preserve">pcos</w:t>
            </w:r>
          </w:p>
        </w:tc>
        <w:tc>
          <w:tcPr>
            <w:tcW w:type="dxa" w:w="1938"/>
          </w:tcPr>
          <w:p>
            <w:pPr>
              <w:pStyle w:val="Compact"/>
              <w:jc w:val="left"/>
            </w:pPr>
            <w:r>
              <w:rPr>
                <w:rFonts w:ascii="Times New Roman" w:hAnsi="Times New Roman"/>
                <w:sz w:val="17"/>
              </w:rPr>
              <w:t xml:space="preserve">GSE80432; GSE106724; GSE124226; GSE137684</w:t>
            </w:r>
          </w:p>
        </w:tc>
        <w:tc>
          <w:tcPr>
            <w:tcW w:type="dxa" w:w="1030"/>
          </w:tcPr>
          <w:p>
            <w:pPr>
              <w:pStyle w:val="Compact"/>
              <w:jc w:val="right"/>
            </w:pPr>
            <w:r>
              <w:rPr>
                <w:rFonts w:ascii="Times New Roman" w:hAnsi="Times New Roman"/>
                <w:sz w:val="17"/>
              </w:rPr>
              <w:t xml:space="preserve">50</w:t>
            </w:r>
          </w:p>
        </w:tc>
        <w:tc>
          <w:tcPr>
            <w:tcW w:type="dxa" w:w="1030"/>
          </w:tcPr>
          <w:p>
            <w:pPr>
              <w:pStyle w:val="Compact"/>
              <w:jc w:val="right"/>
            </w:pPr>
            <w:r>
              <w:rPr>
                <w:rFonts w:ascii="Times New Roman" w:hAnsi="Times New Roman"/>
                <w:sz w:val="17"/>
              </w:rPr>
              <w:t xml:space="preserve">0.72</w:t>
            </w:r>
          </w:p>
        </w:tc>
        <w:tc>
          <w:tcPr>
            <w:tcW w:type="dxa" w:w="1030"/>
          </w:tcPr>
          <w:p>
            <w:pPr>
              <w:pStyle w:val="Compact"/>
              <w:jc w:val="right"/>
            </w:pPr>
            <w:r>
              <w:rPr>
                <w:rFonts w:ascii="Times New Roman" w:hAnsi="Times New Roman"/>
                <w:sz w:val="17"/>
              </w:rPr>
              <w:t xml:space="preserve">0.0102</w:t>
            </w:r>
          </w:p>
        </w:tc>
        <w:tc>
          <w:tcPr>
            <w:tcW w:type="dxa" w:w="1363"/>
          </w:tcPr>
          <w:p>
            <w:pPr>
              <w:pStyle w:val="Compact"/>
              <w:jc w:val="right"/>
            </w:pPr>
            <w:r>
              <w:rPr>
                <w:rFonts w:ascii="Times New Roman" w:hAnsi="Times New Roman"/>
                <w:sz w:val="17"/>
              </w:rPr>
              <w:t xml:space="preserve">7</w:t>
            </w:r>
          </w:p>
        </w:tc>
        <w:tc>
          <w:tcPr>
            <w:tcW w:type="dxa" w:w="1136"/>
          </w:tcPr>
          <w:p>
            <w:pPr>
              <w:pStyle w:val="Compact"/>
              <w:jc w:val="right"/>
            </w:pPr>
            <w:r>
              <w:rPr>
                <w:rFonts w:ascii="Times New Roman" w:hAnsi="Times New Roman"/>
                <w:sz w:val="17"/>
              </w:rPr>
              <w:t xml:space="preserve">0.0078</w:t>
            </w:r>
          </w:p>
        </w:tc>
      </w:tr>
      <w:tr>
        <w:tc>
          <w:tcPr>
            <w:tcW w:type="dxa" w:w="1848"/>
          </w:tcPr>
          <w:p>
            <w:pPr>
              <w:pStyle w:val="Compact"/>
              <w:jc w:val="left"/>
            </w:pPr>
            <w:r>
              <w:rPr>
                <w:rFonts w:ascii="Times New Roman" w:hAnsi="Times New Roman"/>
                <w:sz w:val="17"/>
              </w:rPr>
              <w:t xml:space="preserve">postpartum_depression</w:t>
            </w:r>
          </w:p>
        </w:tc>
        <w:tc>
          <w:tcPr>
            <w:tcW w:type="dxa" w:w="1938"/>
          </w:tcPr>
          <w:p>
            <w:pPr>
              <w:pStyle w:val="Compact"/>
              <w:jc w:val="left"/>
            </w:pPr>
            <w:r>
              <w:rPr>
                <w:rFonts w:ascii="Times New Roman" w:hAnsi="Times New Roman"/>
                <w:sz w:val="17"/>
              </w:rPr>
              <w:t xml:space="preserve">GSE290313-PP</w:t>
            </w:r>
          </w:p>
        </w:tc>
        <w:tc>
          <w:tcPr>
            <w:tcW w:type="dxa" w:w="1030"/>
          </w:tcPr>
          <w:p>
            <w:pPr>
              <w:pStyle w:val="Compact"/>
              <w:jc w:val="right"/>
            </w:pPr>
            <w:r>
              <w:rPr>
                <w:rFonts w:ascii="Times New Roman" w:hAnsi="Times New Roman"/>
                <w:sz w:val="17"/>
              </w:rPr>
              <w:t xml:space="preserve">40</w:t>
            </w:r>
          </w:p>
        </w:tc>
        <w:tc>
          <w:tcPr>
            <w:tcW w:type="dxa" w:w="1030"/>
          </w:tcPr>
          <w:p>
            <w:pPr>
              <w:pStyle w:val="Compact"/>
              <w:jc w:val="right"/>
            </w:pPr>
            <w:r>
              <w:rPr>
                <w:rFonts w:ascii="Times New Roman" w:hAnsi="Times New Roman"/>
                <w:sz w:val="17"/>
              </w:rPr>
              <w:t xml:space="preserve">0.60</w:t>
            </w:r>
          </w:p>
        </w:tc>
        <w:tc>
          <w:tcPr>
            <w:tcW w:type="dxa" w:w="1030"/>
          </w:tcPr>
          <w:p>
            <w:pPr>
              <w:pStyle w:val="Compact"/>
              <w:jc w:val="right"/>
            </w:pPr>
            <w:r>
              <w:rPr>
                <w:rFonts w:ascii="Times New Roman" w:hAnsi="Times New Roman"/>
                <w:sz w:val="17"/>
              </w:rPr>
              <w:t xml:space="preserve">0.1259</w:t>
            </w:r>
          </w:p>
        </w:tc>
        <w:tc>
          <w:tcPr>
            <w:tcW w:type="dxa" w:w="1363"/>
          </w:tcPr>
          <w:p>
            <w:pPr>
              <w:pStyle w:val="Compact"/>
              <w:jc w:val="right"/>
            </w:pPr>
            <w:r>
              <w:rPr>
                <w:rFonts w:ascii="Times New Roman" w:hAnsi="Times New Roman"/>
                <w:sz w:val="17"/>
              </w:rPr>
              <w:t xml:space="preserve">2</w:t>
            </w:r>
          </w:p>
        </w:tc>
        <w:tc>
          <w:tcPr>
            <w:tcW w:type="dxa" w:w="1136"/>
          </w:tcPr>
          <w:p>
            <w:pPr>
              <w:pStyle w:val="Compact"/>
              <w:jc w:val="right"/>
            </w:pPr>
            <w:r>
              <w:rPr>
                <w:rFonts w:ascii="Times New Roman" w:hAnsi="Times New Roman"/>
                <w:sz w:val="17"/>
              </w:rPr>
              <w:t xml:space="preserve">0.3935</w:t>
            </w:r>
          </w:p>
        </w:tc>
      </w:tr>
      <w:tr>
        <w:tc>
          <w:tcPr>
            <w:tcW w:type="dxa" w:w="1848"/>
          </w:tcPr>
          <w:p>
            <w:pPr>
              <w:pStyle w:val="Compact"/>
              <w:jc w:val="left"/>
            </w:pPr>
            <w:r>
              <w:rPr>
                <w:rFonts w:ascii="Times New Roman" w:hAnsi="Times New Roman"/>
                <w:sz w:val="17"/>
              </w:rPr>
              <w:t xml:space="preserve">preeclampsia</w:t>
            </w:r>
          </w:p>
        </w:tc>
        <w:tc>
          <w:tcPr>
            <w:tcW w:type="dxa" w:w="1938"/>
          </w:tcPr>
          <w:p>
            <w:pPr>
              <w:pStyle w:val="Compact"/>
              <w:jc w:val="left"/>
            </w:pPr>
            <w:r>
              <w:rPr>
                <w:rFonts w:ascii="Times New Roman" w:hAnsi="Times New Roman"/>
                <w:sz w:val="17"/>
              </w:rPr>
              <w:t xml:space="preserve">GSE94643; GSE147776; GSE149440; GSE186819; GSE190639</w:t>
            </w:r>
          </w:p>
        </w:tc>
        <w:tc>
          <w:tcPr>
            <w:tcW w:type="dxa" w:w="1030"/>
          </w:tcPr>
          <w:p>
            <w:pPr>
              <w:pStyle w:val="Compact"/>
              <w:jc w:val="right"/>
            </w:pPr>
            <w:r>
              <w:rPr>
                <w:rFonts w:ascii="Times New Roman" w:hAnsi="Times New Roman"/>
                <w:sz w:val="17"/>
              </w:rPr>
              <w:t xml:space="preserve">49</w:t>
            </w:r>
          </w:p>
        </w:tc>
        <w:tc>
          <w:tcPr>
            <w:tcW w:type="dxa" w:w="1030"/>
          </w:tcPr>
          <w:p>
            <w:pPr>
              <w:pStyle w:val="Compact"/>
              <w:jc w:val="right"/>
            </w:pPr>
            <w:r>
              <w:rPr>
                <w:rFonts w:ascii="Times New Roman" w:hAnsi="Times New Roman"/>
                <w:sz w:val="17"/>
              </w:rPr>
              <w:t xml:space="preserve">0.53</w:t>
            </w:r>
          </w:p>
        </w:tc>
        <w:tc>
          <w:tcPr>
            <w:tcW w:type="dxa" w:w="1030"/>
          </w:tcPr>
          <w:p>
            <w:pPr>
              <w:pStyle w:val="Compact"/>
              <w:jc w:val="right"/>
            </w:pPr>
            <w:r>
              <w:rPr>
                <w:rFonts w:ascii="Times New Roman" w:hAnsi="Times New Roman"/>
                <w:sz w:val="17"/>
              </w:rPr>
              <w:t xml:space="preserve">0.2281</w:t>
            </w:r>
          </w:p>
        </w:tc>
        <w:tc>
          <w:tcPr>
            <w:tcW w:type="dxa" w:w="1363"/>
          </w:tcPr>
          <w:p>
            <w:pPr>
              <w:pStyle w:val="Compact"/>
              <w:jc w:val="right"/>
            </w:pPr>
            <w:r>
              <w:rPr>
                <w:rFonts w:ascii="Times New Roman" w:hAnsi="Times New Roman"/>
                <w:sz w:val="17"/>
              </w:rPr>
              <w:t xml:space="preserve">3</w:t>
            </w:r>
          </w:p>
        </w:tc>
        <w:tc>
          <w:tcPr>
            <w:tcW w:type="dxa" w:w="1136"/>
          </w:tcPr>
          <w:p>
            <w:pPr>
              <w:pStyle w:val="Compact"/>
              <w:jc w:val="right"/>
            </w:pPr>
            <w:r>
              <w:rPr>
                <w:rFonts w:ascii="Times New Roman" w:hAnsi="Times New Roman"/>
                <w:sz w:val="17"/>
              </w:rPr>
              <w:t xml:space="preserve">0.2662</w:t>
            </w:r>
          </w:p>
        </w:tc>
      </w:tr>
    </w:tbl>
    <w:p>
      <w:pPr>
        <w:pStyle w:val="Heading1"/>
      </w:pPr>
      <w:bookmarkStart w:id="75" w:name="novelty-and-literature-checks"/>
      <w:r>
        <w:rPr>
          <w:rFonts w:ascii="Times New Roman" w:hAnsi="Times New Roman"/>
        </w:rPr>
        <w:t xml:space="preserve">Novelty and literature checks</w:t>
      </w:r>
      <w:bookmarkEnd w:id="75"/>
    </w:p>
    <w:p>
      <w:pPr>
        <w:pStyle w:val="FirstParagraph"/>
      </w:pPr>
      <w:r>
        <w:rPr>
          <w:rFonts w:ascii="Times New Roman" w:hAnsi="Times New Roman"/>
        </w:rPr>
        <w:t xml:space="preserve">Open Targets absence is not biological novelty. Europe PMC returned two co-mentions for ST3GAL2 with preeclampsia at retrieval, whereas the earlier exact PubMed title/abstract query returned zero. The queries are not equivalent; the previous zero cannot support a novel-biology claim. Ensembl, UniProt, Reactome, MyGene.info, HGNC, GTEx reference, Human Protein Atlas, ClinVar and ChEMBL annotation responses are saved with exact URLs in</w:t>
      </w:r>
      <w:r>
        <w:rPr>
          <w:rFonts w:ascii="Times New Roman" w:hAnsi="Times New Roman"/>
        </w:rPr>
        <w:t xml:space="preserve"> </w:t>
      </w:r>
      <w:r>
        <w:rPr>
          <w:rStyle w:val="VerbatimChar"/>
          <w:rFonts w:ascii="Times New Roman" w:hAnsi="Times New Roman"/>
        </w:rPr>
        <w:t xml:space="preserve">results/external/</w:t>
      </w:r>
      <w:r>
        <w:rPr>
          <w:rFonts w:ascii="Times New Roman" w:hAnsi="Times New Roman"/>
        </w:rPr>
        <w:t xml:space="preserve">. ChEMBL’s ST3GAL2 target search returned a rat target but no human target among results; do not infer lack of druggability from this search alone. Human Protein Atlas links ST3GAL2 to ENSG00000157350 and reports protein-level evidence. ClinVar returns 105 gene-associated records for the exact ST3GAL2 gene query; this says nothing about preeclampsia association or a pathogenic allele in the condition. Neither source converts the falsified expression prediction into a clinical biomarker. An exact-trait GWAS Catalog lookup returned 145 preeclampsia association records and 18 author-reported gene-name mentions; neither ST3GAL2 nor GNG2 was among those names (</w:t>
      </w:r>
      <w:hyperlink r:id="rId76">
        <w:r>
          <w:rPr>
            <w:rStyle w:val="Hyperlink"/>
          </w:rPr>
          <w:t xml:space="preserve">https://www.ebi.ac.uk/gwas/rest/api/efoTraits/MONDO_0005081/associations</w:t>
        </w:r>
      </w:hyperlink>
      <w:r>
        <w:rPr>
          <w:rFonts w:ascii="Times New Roman" w:hAnsi="Times New Roman"/>
        </w:rPr>
        <w:t xml:space="preserve">). This limited author-reported-name search is not proof that either gene lacks genetic evidence, nor a test of placental expression. Published data serve as contextual sources, not a substitute for an independent held-out cohort.</w:t>
      </w:r>
    </w:p>
    <w:p>
      <w:pPr>
        <w:pStyle w:val="Heading2"/>
      </w:pPr>
      <w:bookmarkStart w:id="77" w:name="X181b4f218294152850d266d4a3256bdd6cae3e5"/>
      <w:r>
        <w:rPr>
          <w:rFonts w:ascii="Times New Roman" w:hAnsi="Times New Roman"/>
        </w:rPr>
        <w:t xml:space="preserve">Physical-network context for the fixed panels</w:t>
      </w:r>
      <w:bookmarkEnd w:id="77"/>
    </w:p>
    <w:p>
      <w:pPr>
        <w:pStyle w:val="FirstParagraph"/>
      </w:pPr>
      <w:r>
        <w:rPr>
          <w:rFonts w:ascii="Times New Roman" w:hAnsi="Times New Roman"/>
        </w:rPr>
        <w:t xml:space="preserve">The STRING physical-link graph underlying the GNN can check a narrower claim than pathway enrichment: whether a frozen sign panel is densely linked by recorded protein interactions. In the 50-gene IC discovery ranking, 35 symbols map to the score-400 physical graph and only one edge connects a pair; the largest induced component has two nodes. All 20 PCOS candidates map, but no pair has an edge at this threshold. A 1,000-draw random set from measured non-selected discovery genes gives means of 1.027 and 0.334 edges for IC and PCOS, respectively. These panels are not enriched for direct physical adjacency by this crude reference. The negative graph-context result does not deny co-regulation or shared inflammatory biology, which can occur without direct recorded physical links; nor does a degree-unmatched null license a pathway p-value. Missing STRING mappings (15 IC symbols) limit what the graph can say. The check uses a distinct graph-analysis library for connected components and saves its full result in</w:t>
      </w:r>
      <w:r>
        <w:rPr>
          <w:rFonts w:ascii="Times New Roman" w:hAnsi="Times New Roman"/>
        </w:rPr>
        <w:t xml:space="preserve"> </w:t>
      </w:r>
      <w:r>
        <w:rPr>
          <w:rStyle w:val="VerbatimChar"/>
          <w:rFonts w:ascii="Times New Roman" w:hAnsi="Times New Roman"/>
        </w:rPr>
        <w:t xml:space="preserve">results/signature_network_context.json</w:t>
      </w:r>
      <w:r>
        <w:rPr>
          <w:rFonts w:ascii="Times New Roman" w:hAnsi="Times New Roman"/>
        </w:rPr>
        <w:t xml:space="preserve">. It provides an audit of a tempting mechanism claim rather than a new prediction target.</w:t>
      </w:r>
    </w:p>
    <w:p>
      <w:pPr>
        <w:pStyle w:val="Heading2"/>
      </w:pPr>
      <w:bookmarkStart w:id="78" w:name="X7fc90b36ea43c9855ff7d9d46206e4dc3083e6d"/>
      <w:r>
        <w:rPr>
          <w:rFonts w:ascii="Times New Roman" w:hAnsi="Times New Roman"/>
        </w:rPr>
        <w:t xml:space="preserve">Frozen six-gene preeclampsia panel: metadata failure and twin transport</w:t>
      </w:r>
      <w:bookmarkEnd w:id="78"/>
    </w:p>
    <w:p>
      <w:pPr>
        <w:pStyle w:val="FirstParagraph"/>
      </w:pPr>
      <w:r>
        <w:rPr>
          <w:rFonts w:ascii="Times New Roman" w:hAnsi="Times New Roman"/>
        </w:rPr>
        <w:t xml:space="preserve">After viewing the old discovery and five-study validation summaries, a fixed screen selected six down-direction genes: FES, GPAT3, FURIN, GRAMD1A, ZNF467, and LPGAT1. Discovery required BH</w:t>
      </w:r>
      <w:r>
        <w:rPr>
          <w:rFonts w:ascii="Times New Roman" w:hAnsi="Times New Roman"/>
        </w:rPr>
        <w:t xml:space="preserve"> </w:t>
      </w:r>
      <w:r>
        <w:rPr>
          <w:rFonts w:ascii="Times New Roman" w:hAnsi="Times New Roman"/>
        </w:rPr>
        <w:drawing>
          <wp:inline>
            <wp:extent cx="454659" cy="101486"/>
            <wp:effectExtent b="0" l="0" r="0" t="0"/>
            <wp:docPr descr="image" title="" id="1" name="Picture"/>
            <a:graphic>
              <a:graphicData uri="http://schemas.openxmlformats.org/drawingml/2006/picture">
                <pic:pic>
                  <pic:nvPicPr>
                    <pic:cNvPr descr="equations/in036.png" id="0" name="Picture"/>
                    <pic:cNvPicPr>
                      <a:picLocks noChangeArrowheads="1" noChangeAspect="1"/>
                    </pic:cNvPicPr>
                  </pic:nvPicPr>
                  <pic:blipFill>
                    <a:blip r:embed="rId74"/>
                    <a:stretch>
                      <a:fillRect/>
                    </a:stretch>
                  </pic:blipFill>
                  <pic:spPr bwMode="auto">
                    <a:xfrm>
                      <a:off x="0" y="0"/>
                      <a:ext cx="454659" cy="10148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with at least eight cohorts, and old validation required concordant sign, nominal two-sided</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037.png" id="0" name="Picture"/>
                    <pic:cNvPicPr>
                      <a:picLocks noChangeArrowheads="1" noChangeAspect="1"/>
                    </pic:cNvPicPr>
                  </pic:nvPicPr>
                  <pic:blipFill>
                    <a:blip r:embed="rId79"/>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with at least three cohorts. Thus neither this selection nor its old validation is a new prospective discovery. The first fresh-cohort attempt, early chorionic-villus GSE295760, could not be tested reliably: GEO’s series design describes 14 women (eight later PE, six controls), whereas the downloaded mRNA workbook and mRNA GSM metadata contain 19 columns/records (ten later PE, nine controls). Nineteen separate small-RNA records share participant tokens, but four tokens have opposite outcome labels between the two modalities: C1934, C1941, C3729, C4144. We excluded the whole cohort before computing any gene outcome. We did not count its 19 mRNA GSMs among used records. These are public metadata contradictions, not evidence of fraud or a biological finding (</w:t>
      </w:r>
      <w:hyperlink r:id="rId80">
        <w:r>
          <w:rPr>
            <w:rStyle w:val="Hyperlink"/>
          </w:rPr>
          <w:t xml:space="preserve">https://www.ncbi.nlm.nih.gov/geo/query/acc.cgi?acc=GSE295760</w:t>
        </w:r>
      </w:hyperlink>
      <w:r>
        <w:rPr>
          <w:rFonts w:ascii="Times New Roman" w:hAnsi="Times New Roman"/>
        </w:rPr>
        <w:t xml:space="preserve">).</w:t>
      </w:r>
    </w:p>
    <w:p>
      <w:pPr>
        <w:pStyle w:val="BodyText"/>
      </w:pPr>
      <w:r>
        <w:rPr>
          <w:rFonts w:ascii="Times New Roman" w:hAnsi="Times New Roman"/>
        </w:rPr>
        <w:t xml:space="preserve">The independently registered transport attempt P10 used GSE272342 villous twin placentas, a different population and gestational context from the intended early-CVS prediction (</w:t>
      </w:r>
      <w:hyperlink r:id="rId81">
        <w:r>
          <w:rPr>
            <w:rStyle w:val="Hyperlink"/>
          </w:rPr>
          <w:t xml:space="preserve">https://www.ncbi.nlm.nih.gov/geo/query/acc.cgi?acc=GSE272342</w:t>
        </w:r>
      </w:hyperlink>
      <w:r>
        <w:rPr>
          <w:rFonts w:ascii="Times New Roman" w:hAnsi="Times New Roman"/>
        </w:rPr>
        <w:t xml:space="preserve">). Its 32 twin GSM counts belong to 16 pregnancies, not 32 independent observations. We applied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(counts per million+1) to each sample, averaged siblings within a pregnancy, then compared seven PE pregnancies with nine normotensive pregnancies. Thirteen singleton PE samples were excluded, three of which are resequencings of persons in GSE203507; no singleton controls were present. Pregnancy-level Hedges effects (uncorrected Welch</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parentheses) were FES -1.524 (.0091), GPAT3 +0.488 (.322), FURIN +0.062 (.894), GRAMD1A -1.189 (.0395), ZNF467 -0.844 (.0775), and LPGAT1 -0.199 (.6645). Four of six signs agreed; two reversed. The six measured effects and their uncertainty are tabulated below. Even nominal FES evidence does not pass a six-gene Bonferroni threshold of</w:t>
      </w:r>
      <w:r>
        <w:rPr>
          <w:rFonts w:ascii="Times New Roman" w:hAnsi="Times New Roman"/>
        </w:rPr>
        <w:t xml:space="preserve"> </w:t>
      </w:r>
      <w:r>
        <w:rPr>
          <w:rFonts w:ascii="Times New Roman" w:hAnsi="Times New Roman"/>
        </w:rPr>
        <w:drawing>
          <wp:inline>
            <wp:extent cx="808990" cy="125393"/>
            <wp:effectExtent b="0" l="0" r="0" t="0"/>
            <wp:docPr descr="image" title="" id="1" name="Picture"/>
            <a:graphic>
              <a:graphicData uri="http://schemas.openxmlformats.org/drawingml/2006/picture">
                <pic:pic>
                  <pic:nvPicPr>
                    <pic:cNvPr descr="equations/in046.png" id="0" name="Picture"/>
                    <pic:cNvPicPr>
                      <a:picLocks noChangeArrowheads="1" noChangeAspect="1"/>
                    </pic:cNvPicPr>
                  </pic:nvPicPr>
                  <pic:blipFill>
                    <a:blip r:embed="rId83"/>
                    <a:stretch>
                      <a:fillRect/>
                    </a:stretch>
                  </pic:blipFill>
                  <pic:spPr bwMode="auto">
                    <a:xfrm>
                      <a:off x="0" y="0"/>
                      <a:ext cx="808990" cy="125393"/>
                    </a:xfrm>
                    <a:prstGeom prst="rect">
                      <a:avLst/>
                    </a:prstGeom>
                    <a:noFill/>
                    <a:ln w="9525">
                      <a:noFill/>
                      <a:headEnd/>
                      <a:tailEnd/>
                    </a:ln>
                  </pic:spPr>
                </pic:pic>
              </a:graphicData>
            </a:graphic>
          </wp:inline>
        </w:drawing>
      </w:r>
      <w:r>
        <w:rPr>
          <w:rFonts w:ascii="Times New Roman" w:hAnsi="Times New Roman"/>
        </w:rPr>
        <w:t xml:space="preserve">. The registered empirical matched-direction null was inoperable: exactly six genes met the earlier eligibility filter, all already in the selected panel, so no disjoint six-gene sets could be drawn. We did not choose a new null after seeing the outcomes. Thus neither P9 nor P10 provides the independent, corrected replication required for a biomarker claim.</w:t>
      </w:r>
    </w:p>
    <w:p>
      <w:pPr>
        <w:pStyle w:val="TableCaption"/>
      </w:pPr>
      <w:r>
        <w:rPr>
          <w:rFonts w:ascii="Times New Roman" w:hAnsi="Times New Roman"/>
        </w:rPr>
        <w:t xml:space="preserve">P10 twin-placenta results for the six frozen down-direction genes. Each Hedges</w:t>
      </w:r>
      <w:r>
        <w:rPr>
          <w:rFonts w:ascii="Times New Roman" w:hAnsi="Times New Roman"/>
        </w:rPr>
        <w:t xml:space="preserve"> </w:t>
      </w:r>
      <m:oMath>
        <m:r>
          <m:t>g</m:t>
        </m:r>
      </m:oMath>
      <w:r>
        <w:rPr>
          <w:rFonts w:ascii="Times New Roman" w:hAnsi="Times New Roman"/>
        </w:rPr>
        <w:t xml:space="preserve"> </w:t>
      </w:r>
      <w:r>
        <w:rPr>
          <w:rFonts w:ascii="Times New Roman" w:hAnsi="Times New Roman"/>
        </w:rPr>
        <w:t xml:space="preserve">is computed on 16 pregnancy means (7 PE, 9 controls), not 32 sibling samples. Welch</w:t>
      </w:r>
      <w:r>
        <w:rPr>
          <w:rFonts w:ascii="Times New Roman" w:hAnsi="Times New Roman"/>
        </w:rPr>
        <w:t xml:space="preserve"> </w:t>
      </w:r>
      <m:oMath>
        <m:r>
          <m:t>p</m:t>
        </m:r>
      </m:oMath>
      <w:r>
        <w:rPr>
          <w:rFonts w:ascii="Times New Roman" w:hAnsi="Times New Roman"/>
        </w:rPr>
        <w:t xml:space="preserve"> </w:t>
      </w:r>
      <w:r>
        <w:rPr>
          <w:rFonts w:ascii="Times New Roman" w:hAnsi="Times New Roman"/>
        </w:rPr>
        <w:t xml:space="preserve">is uncorrected and the panel fails: two genes reverse. The post-result adjusted FES test does not change this prespecified panel conclusion. Source: results/pe_twin_p10.csv.</w:t>
      </w:r>
    </w:p>
    <w:tbl>
      <w:tblPr>
        <w:tblStyle w:val="Table"/>
        <w:tblW w:type="pct" w:w="0.0"/>
        <w:tblLayout w:type="fixed"/>
        <w:tblLook w:firstRow="1"/>
        <w:tblCaption w:val="P10 twin-placenta results for the six frozen down-direction genes. Each Hedges g is computed on 16 pregnancy means (7 PE, 9 controls), not 32 sibling samples. Welch p is uncorrected and the panel fails: two genes reverse. The post-result adjusted FES test does not change this prespecified panel conclusion. Source: results/pe_twin_p10.csv."/>
      </w:tblPr>
      <w:tblGrid>
        <w:gridCol w:w="2625"/>
        <w:gridCol w:w="2250"/>
        <w:gridCol w:w="2062"/>
        <w:gridCol w:w="2437"/>
      </w:tblGrid>
      <w:tr>
        <w:trPr>
          <w:cnfStyle w:firstRow="1"/>
        </w:trPr>
        <w:tc>
          <w:tcPr>
            <w:tcW w:type="dxa" w:w="2625"/>
            <w:tcBorders>
              <w:bottom w:val="single"/>
            </w:tcBorders>
            <w:vAlign w:val="bottom"/>
          </w:tcPr>
          <w:p>
            <w:pPr>
              <w:pStyle w:val="Compact"/>
              <w:jc w:val="left"/>
            </w:pPr>
            <w:r>
              <w:rPr>
                <w:rFonts w:ascii="Times New Roman" w:hAnsi="Times New Roman"/>
                <w:sz w:val="17"/>
              </w:rPr>
              <w:t xml:space="preserve">Gene</w:t>
            </w:r>
          </w:p>
        </w:tc>
        <w:tc>
          <w:tcPr>
            <w:tcW w:type="dxa" w:w="2250"/>
            <w:tcBorders>
              <w:bottom w:val="single"/>
            </w:tcBorders>
            <w:vAlign w:val="bottom"/>
          </w:tcPr>
          <w:p>
            <w:pPr>
              <w:pStyle w:val="Compact"/>
              <w:jc w:val="right"/>
            </w:pPr>
            <w:r>
              <w:rPr>
                <w:rFonts w:ascii="Times New Roman" w:hAnsi="Times New Roman"/>
                <w:sz w:val="17"/>
              </w:rPr>
              <w:t xml:space="preserve">Hedges</w:t>
            </w:r>
            <w:r>
              <w:rPr>
                <w:rFonts w:ascii="Times New Roman" w:hAnsi="Times New Roman"/>
                <w:sz w:val="17"/>
              </w:rPr>
              <w:t xml:space="preserve"> </w:t>
            </w:r>
            <m:oMath>
              <m:r>
                <m:t>g</m:t>
              </m:r>
            </m:oMath>
          </w:p>
        </w:tc>
        <w:tc>
          <w:tcPr>
            <w:tcW w:type="dxa" w:w="2062"/>
            <w:tcBorders>
              <w:bottom w:val="single"/>
            </w:tcBorders>
            <w:vAlign w:val="bottom"/>
          </w:tcPr>
          <w:p>
            <w:pPr>
              <w:pStyle w:val="Compact"/>
              <w:jc w:val="right"/>
            </w:pPr>
            <w:r>
              <w:rPr>
                <w:rFonts w:ascii="Times New Roman" w:hAnsi="Times New Roman"/>
                <w:sz w:val="17"/>
              </w:rPr>
              <w:t xml:space="preserve">Welch</w:t>
            </w:r>
            <w:r>
              <w:rPr>
                <w:rFonts w:ascii="Times New Roman" w:hAnsi="Times New Roman"/>
                <w:sz w:val="17"/>
              </w:rPr>
              <w:t xml:space="preserve"> </w:t>
            </w:r>
            <m:oMath>
              <m:r>
                <m:t>p</m:t>
              </m:r>
            </m:oMath>
          </w:p>
        </w:tc>
        <w:tc>
          <w:tcPr>
            <w:tcW w:type="dxa" w:w="2437"/>
            <w:tcBorders>
              <w:bottom w:val="single"/>
            </w:tcBorders>
            <w:vAlign w:val="bottom"/>
          </w:tcPr>
          <w:p>
            <w:pPr>
              <w:pStyle w:val="Compact"/>
              <w:jc w:val="left"/>
            </w:pPr>
            <w:r>
              <w:rPr>
                <w:rFonts w:ascii="Times New Roman" w:hAnsi="Times New Roman"/>
                <w:sz w:val="17"/>
              </w:rPr>
              <w:t xml:space="preserve">Observed</w:t>
            </w:r>
          </w:p>
        </w:tc>
      </w:tr>
      <w:tr>
        <w:tc>
          <w:tcPr>
            <w:tcW w:type="dxa" w:w="2625"/>
          </w:tcPr>
          <w:p>
            <w:pPr>
              <w:pStyle w:val="Compact"/>
              <w:jc w:val="left"/>
            </w:pPr>
            <w:r>
              <w:rPr>
                <w:rFonts w:ascii="Times New Roman" w:hAnsi="Times New Roman"/>
                <w:sz w:val="17"/>
              </w:rPr>
              <w:t xml:space="preserve">FES</w:t>
            </w:r>
          </w:p>
        </w:tc>
        <w:tc>
          <w:tcPr>
            <w:tcW w:type="dxa" w:w="2250"/>
          </w:tcPr>
          <w:p>
            <w:pPr>
              <w:pStyle w:val="Compact"/>
              <w:jc w:val="right"/>
            </w:pPr>
            <w:r>
              <w:rPr>
                <w:rFonts w:ascii="Times New Roman" w:hAnsi="Times New Roman"/>
                <w:sz w:val="17"/>
              </w:rPr>
              <w:t xml:space="preserve">-1.524</w:t>
            </w:r>
          </w:p>
        </w:tc>
        <w:tc>
          <w:tcPr>
            <w:tcW w:type="dxa" w:w="2062"/>
          </w:tcPr>
          <w:p>
            <w:pPr>
              <w:pStyle w:val="Compact"/>
              <w:jc w:val="right"/>
            </w:pPr>
            <w:r>
              <w:rPr>
                <w:rFonts w:ascii="Times New Roman" w:hAnsi="Times New Roman"/>
                <w:sz w:val="17"/>
              </w:rPr>
              <w:t xml:space="preserve">0.0091</w:t>
            </w:r>
          </w:p>
        </w:tc>
        <w:tc>
          <w:tcPr>
            <w:tcW w:type="dxa" w:w="2437"/>
          </w:tcPr>
          <w:p>
            <w:pPr>
              <w:pStyle w:val="Compact"/>
              <w:jc w:val="left"/>
            </w:pPr>
            <w:r>
              <w:rPr>
                <w:rFonts w:ascii="Times New Roman" w:hAnsi="Times New Roman"/>
                <w:sz w:val="17"/>
              </w:rPr>
              <w:t xml:space="preserve">down</w:t>
            </w:r>
          </w:p>
        </w:tc>
      </w:tr>
      <w:tr>
        <w:tc>
          <w:tcPr>
            <w:tcW w:type="dxa" w:w="2625"/>
          </w:tcPr>
          <w:p>
            <w:pPr>
              <w:pStyle w:val="Compact"/>
              <w:jc w:val="left"/>
            </w:pPr>
            <w:r>
              <w:rPr>
                <w:rFonts w:ascii="Times New Roman" w:hAnsi="Times New Roman"/>
                <w:sz w:val="17"/>
              </w:rPr>
              <w:t xml:space="preserve">GPAT3</w:t>
            </w:r>
          </w:p>
        </w:tc>
        <w:tc>
          <w:tcPr>
            <w:tcW w:type="dxa" w:w="2250"/>
          </w:tcPr>
          <w:p>
            <w:pPr>
              <w:pStyle w:val="Compact"/>
              <w:jc w:val="right"/>
            </w:pPr>
            <w:r>
              <w:rPr>
                <w:rFonts w:ascii="Times New Roman" w:hAnsi="Times New Roman"/>
                <w:sz w:val="17"/>
              </w:rPr>
              <w:t xml:space="preserve">+0.488</w:t>
            </w:r>
          </w:p>
        </w:tc>
        <w:tc>
          <w:tcPr>
            <w:tcW w:type="dxa" w:w="2062"/>
          </w:tcPr>
          <w:p>
            <w:pPr>
              <w:pStyle w:val="Compact"/>
              <w:jc w:val="right"/>
            </w:pPr>
            <w:r>
              <w:rPr>
                <w:rFonts w:ascii="Times New Roman" w:hAnsi="Times New Roman"/>
                <w:sz w:val="17"/>
              </w:rPr>
              <w:t xml:space="preserve">0.3218</w:t>
            </w:r>
          </w:p>
        </w:tc>
        <w:tc>
          <w:tcPr>
            <w:tcW w:type="dxa" w:w="2437"/>
          </w:tcPr>
          <w:p>
            <w:pPr>
              <w:pStyle w:val="Compact"/>
              <w:jc w:val="left"/>
            </w:pPr>
            <w:r>
              <w:rPr>
                <w:rFonts w:ascii="Times New Roman" w:hAnsi="Times New Roman"/>
                <w:sz w:val="17"/>
              </w:rPr>
              <w:t xml:space="preserve">up</w:t>
            </w:r>
          </w:p>
        </w:tc>
      </w:tr>
      <w:tr>
        <w:tc>
          <w:tcPr>
            <w:tcW w:type="dxa" w:w="2625"/>
          </w:tcPr>
          <w:p>
            <w:pPr>
              <w:pStyle w:val="Compact"/>
              <w:jc w:val="left"/>
            </w:pPr>
            <w:r>
              <w:rPr>
                <w:rFonts w:ascii="Times New Roman" w:hAnsi="Times New Roman"/>
                <w:sz w:val="17"/>
              </w:rPr>
              <w:t xml:space="preserve">FURIN</w:t>
            </w:r>
          </w:p>
        </w:tc>
        <w:tc>
          <w:tcPr>
            <w:tcW w:type="dxa" w:w="2250"/>
          </w:tcPr>
          <w:p>
            <w:pPr>
              <w:pStyle w:val="Compact"/>
              <w:jc w:val="right"/>
            </w:pPr>
            <w:r>
              <w:rPr>
                <w:rFonts w:ascii="Times New Roman" w:hAnsi="Times New Roman"/>
                <w:sz w:val="17"/>
              </w:rPr>
              <w:t xml:space="preserve">+0.062</w:t>
            </w:r>
          </w:p>
        </w:tc>
        <w:tc>
          <w:tcPr>
            <w:tcW w:type="dxa" w:w="2062"/>
          </w:tcPr>
          <w:p>
            <w:pPr>
              <w:pStyle w:val="Compact"/>
              <w:jc w:val="right"/>
            </w:pPr>
            <w:r>
              <w:rPr>
                <w:rFonts w:ascii="Times New Roman" w:hAnsi="Times New Roman"/>
                <w:sz w:val="17"/>
              </w:rPr>
              <w:t xml:space="preserve">0.8944</w:t>
            </w:r>
          </w:p>
        </w:tc>
        <w:tc>
          <w:tcPr>
            <w:tcW w:type="dxa" w:w="2437"/>
          </w:tcPr>
          <w:p>
            <w:pPr>
              <w:pStyle w:val="Compact"/>
              <w:jc w:val="left"/>
            </w:pPr>
            <w:r>
              <w:rPr>
                <w:rFonts w:ascii="Times New Roman" w:hAnsi="Times New Roman"/>
                <w:sz w:val="17"/>
              </w:rPr>
              <w:t xml:space="preserve">up</w:t>
            </w:r>
          </w:p>
        </w:tc>
      </w:tr>
      <w:tr>
        <w:tc>
          <w:tcPr>
            <w:tcW w:type="dxa" w:w="2625"/>
          </w:tcPr>
          <w:p>
            <w:pPr>
              <w:pStyle w:val="Compact"/>
              <w:jc w:val="left"/>
            </w:pPr>
            <w:r>
              <w:rPr>
                <w:rFonts w:ascii="Times New Roman" w:hAnsi="Times New Roman"/>
                <w:sz w:val="17"/>
              </w:rPr>
              <w:t xml:space="preserve">GRAMD1A</w:t>
            </w:r>
          </w:p>
        </w:tc>
        <w:tc>
          <w:tcPr>
            <w:tcW w:type="dxa" w:w="2250"/>
          </w:tcPr>
          <w:p>
            <w:pPr>
              <w:pStyle w:val="Compact"/>
              <w:jc w:val="right"/>
            </w:pPr>
            <w:r>
              <w:rPr>
                <w:rFonts w:ascii="Times New Roman" w:hAnsi="Times New Roman"/>
                <w:sz w:val="17"/>
              </w:rPr>
              <w:t xml:space="preserve">-1.189</w:t>
            </w:r>
          </w:p>
        </w:tc>
        <w:tc>
          <w:tcPr>
            <w:tcW w:type="dxa" w:w="2062"/>
          </w:tcPr>
          <w:p>
            <w:pPr>
              <w:pStyle w:val="Compact"/>
              <w:jc w:val="right"/>
            </w:pPr>
            <w:r>
              <w:rPr>
                <w:rFonts w:ascii="Times New Roman" w:hAnsi="Times New Roman"/>
                <w:sz w:val="17"/>
              </w:rPr>
              <w:t xml:space="preserve">0.0395</w:t>
            </w:r>
          </w:p>
        </w:tc>
        <w:tc>
          <w:tcPr>
            <w:tcW w:type="dxa" w:w="2437"/>
          </w:tcPr>
          <w:p>
            <w:pPr>
              <w:pStyle w:val="Compact"/>
              <w:jc w:val="left"/>
            </w:pPr>
            <w:r>
              <w:rPr>
                <w:rFonts w:ascii="Times New Roman" w:hAnsi="Times New Roman"/>
                <w:sz w:val="17"/>
              </w:rPr>
              <w:t xml:space="preserve">down</w:t>
            </w:r>
          </w:p>
        </w:tc>
      </w:tr>
      <w:tr>
        <w:tc>
          <w:tcPr>
            <w:tcW w:type="dxa" w:w="2625"/>
          </w:tcPr>
          <w:p>
            <w:pPr>
              <w:pStyle w:val="Compact"/>
              <w:jc w:val="left"/>
            </w:pPr>
            <w:r>
              <w:rPr>
                <w:rFonts w:ascii="Times New Roman" w:hAnsi="Times New Roman"/>
                <w:sz w:val="17"/>
              </w:rPr>
              <w:t xml:space="preserve">ZNF467</w:t>
            </w:r>
          </w:p>
        </w:tc>
        <w:tc>
          <w:tcPr>
            <w:tcW w:type="dxa" w:w="2250"/>
          </w:tcPr>
          <w:p>
            <w:pPr>
              <w:pStyle w:val="Compact"/>
              <w:jc w:val="right"/>
            </w:pPr>
            <w:r>
              <w:rPr>
                <w:rFonts w:ascii="Times New Roman" w:hAnsi="Times New Roman"/>
                <w:sz w:val="17"/>
              </w:rPr>
              <w:t xml:space="preserve">-0.844</w:t>
            </w:r>
          </w:p>
        </w:tc>
        <w:tc>
          <w:tcPr>
            <w:tcW w:type="dxa" w:w="2062"/>
          </w:tcPr>
          <w:p>
            <w:pPr>
              <w:pStyle w:val="Compact"/>
              <w:jc w:val="right"/>
            </w:pPr>
            <w:r>
              <w:rPr>
                <w:rFonts w:ascii="Times New Roman" w:hAnsi="Times New Roman"/>
                <w:sz w:val="17"/>
              </w:rPr>
              <w:t xml:space="preserve">0.0775</w:t>
            </w:r>
          </w:p>
        </w:tc>
        <w:tc>
          <w:tcPr>
            <w:tcW w:type="dxa" w:w="2437"/>
          </w:tcPr>
          <w:p>
            <w:pPr>
              <w:pStyle w:val="Compact"/>
              <w:jc w:val="left"/>
            </w:pPr>
            <w:r>
              <w:rPr>
                <w:rFonts w:ascii="Times New Roman" w:hAnsi="Times New Roman"/>
                <w:sz w:val="17"/>
              </w:rPr>
              <w:t xml:space="preserve">down</w:t>
            </w:r>
          </w:p>
        </w:tc>
      </w:tr>
      <w:tr>
        <w:tc>
          <w:tcPr>
            <w:tcW w:type="dxa" w:w="2625"/>
          </w:tcPr>
          <w:p>
            <w:pPr>
              <w:pStyle w:val="Compact"/>
              <w:jc w:val="left"/>
            </w:pPr>
            <w:r>
              <w:rPr>
                <w:rFonts w:ascii="Times New Roman" w:hAnsi="Times New Roman"/>
                <w:sz w:val="17"/>
              </w:rPr>
              <w:t xml:space="preserve">LPGAT1</w:t>
            </w:r>
          </w:p>
        </w:tc>
        <w:tc>
          <w:tcPr>
            <w:tcW w:type="dxa" w:w="2250"/>
          </w:tcPr>
          <w:p>
            <w:pPr>
              <w:pStyle w:val="Compact"/>
              <w:jc w:val="right"/>
            </w:pPr>
            <w:r>
              <w:rPr>
                <w:rFonts w:ascii="Times New Roman" w:hAnsi="Times New Roman"/>
                <w:sz w:val="17"/>
              </w:rPr>
              <w:t xml:space="preserve">-0.199</w:t>
            </w:r>
          </w:p>
        </w:tc>
        <w:tc>
          <w:tcPr>
            <w:tcW w:type="dxa" w:w="2062"/>
          </w:tcPr>
          <w:p>
            <w:pPr>
              <w:pStyle w:val="Compact"/>
              <w:jc w:val="right"/>
            </w:pPr>
            <w:r>
              <w:rPr>
                <w:rFonts w:ascii="Times New Roman" w:hAnsi="Times New Roman"/>
                <w:sz w:val="17"/>
              </w:rPr>
              <w:t xml:space="preserve">0.6645</w:t>
            </w:r>
          </w:p>
        </w:tc>
        <w:tc>
          <w:tcPr>
            <w:tcW w:type="dxa" w:w="2437"/>
          </w:tcPr>
          <w:p>
            <w:pPr>
              <w:pStyle w:val="Compact"/>
              <w:jc w:val="left"/>
            </w:pPr>
            <w:r>
              <w:rPr>
                <w:rFonts w:ascii="Times New Roman" w:hAnsi="Times New Roman"/>
                <w:sz w:val="17"/>
              </w:rPr>
              <w:t xml:space="preserve">down</w:t>
            </w:r>
          </w:p>
        </w:tc>
      </w:tr>
    </w:tbl>
    <w:p>
      <w:pPr>
        <w:pStyle w:val="BodyText"/>
      </w:pPr>
      <w:r>
        <w:rPr>
          <w:rFonts w:ascii="Times New Roman" w:hAnsi="Times New Roman"/>
        </w:rPr>
        <w:t xml:space="preserve">The exact sample map, effects, and exclusion are retained in the repository. A later, explicitly post-outcome sensitivity found that FES remains down in all sixteen leave-one-pregnancy-out fits and has max-absolute-Welch-</w:t>
      </w:r>
      <w:r>
        <w:rPr>
          <w:rFonts w:ascii="Times New Roman" w:hAnsi="Times New Roman"/>
        </w:rPr>
        <w:drawing>
          <wp:inline>
            <wp:extent cx="45720" cy="68580"/>
            <wp:effectExtent b="0" l="0" r="0" t="0"/>
            <wp:docPr descr="image" title="" id="1" name="Picture"/>
            <a:graphic>
              <a:graphicData uri="http://schemas.openxmlformats.org/drawingml/2006/picture">
                <pic:pic>
                  <pic:nvPicPr>
                    <pic:cNvPr descr="equations/in047.png" id="0" name="Picture"/>
                    <pic:cNvPicPr>
                      <a:picLocks noChangeArrowheads="1" noChangeAspect="1"/>
                    </pic:cNvPicPr>
                  </pic:nvPicPr>
                  <pic:blipFill>
                    <a:blip r:embed="rId84"/>
                    <a:stretch>
                      <a:fillRect/>
                    </a:stretch>
                  </pic:blipFill>
                  <pic:spPr bwMode="auto">
                    <a:xfrm>
                      <a:off x="0" y="0"/>
                      <a:ext cx="45720" cy="6858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permutation familywise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48.png" id="0" name="Picture"/>
                    <pic:cNvPicPr>
                      <a:picLocks noChangeArrowheads="1" noChangeAspect="1"/>
                    </pic:cNvPicPr>
                  </pic:nvPicPr>
                  <pic:blipFill>
                    <a:blip r:embed="rId85"/>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across the six genes under all 11,440 label assignments. A separate descriptive regression including gestational age at delivery gave FES case coefficient -0.344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CPM and nominal</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050.png" id="0" name="Picture"/>
                    <pic:cNvPicPr>
                      <a:picLocks noChangeArrowheads="1" noChangeAspect="1"/>
                    </pic:cNvPicPr>
                  </pic:nvPicPr>
                  <pic:blipFill>
                    <a:blip r:embed="rId86"/>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mean delivery ages were 33.20 and 33.11 weeks for PE and controls. These analyses were devised after seeing cohort effects, and delivery age may be affected by PE. They neither replace the infeasible registered matched-gene null nor overcome the failed six-gene panel, twin case-mix, or lack of a matching independent cohort.</w:t>
      </w:r>
    </w:p>
    <w:p>
      <w:pPr>
        <w:pStyle w:val="Heading2"/>
      </w:pPr>
      <w:bookmarkStart w:id="87" w:name="Xcb6940f838c0253a074d89cf31ae3fa40eef7a8"/>
      <w:r>
        <w:rPr>
          <w:rFonts w:ascii="Times New Roman" w:hAnsi="Times New Roman"/>
        </w:rPr>
        <w:t xml:space="preserve">P11 early plasma cfRNA transport: another negative</w:t>
      </w:r>
      <w:bookmarkEnd w:id="87"/>
    </w:p>
    <w:p>
      <w:pPr>
        <w:pStyle w:val="FirstParagraph"/>
      </w:pPr>
      <w:r>
        <w:rPr>
          <w:rFonts w:ascii="Times New Roman" w:hAnsi="Times New Roman"/>
        </w:rPr>
        <w:t xml:space="preserve">We next fixed the same six directions before downloading GSE192902’s count matrices, using the first</w:t>
      </w:r>
      <w:r>
        <w:rPr>
          <w:rFonts w:ascii="Times New Roman" w:hAnsi="Times New Roman"/>
        </w:rPr>
        <w:t xml:space="preserve"> </w:t>
      </w:r>
      <w:r>
        <w:rPr>
          <w:rFonts w:ascii="Times New Roman" w:hAnsi="Times New Roman"/>
        </w:rPr>
        <w:drawing>
          <wp:inline>
            <wp:extent cx="260350" cy="104979"/>
            <wp:effectExtent b="0" l="0" r="0" t="0"/>
            <wp:docPr descr="image" title="" id="1" name="Picture"/>
            <a:graphic>
              <a:graphicData uri="http://schemas.openxmlformats.org/drawingml/2006/picture">
                <pic:pic>
                  <pic:nvPicPr>
                    <pic:cNvPr descr="equations/in051.png" id="0" name="Picture"/>
                    <pic:cNvPicPr>
                      <a:picLocks noChangeArrowheads="1" noChangeAspect="1"/>
                    </pic:cNvPicPr>
                  </pic:nvPicPr>
                  <pic:blipFill>
                    <a:blip r:embed="rId88"/>
                    <a:stretch>
                      <a:fillRect/>
                    </a:stretch>
                  </pic:blipFill>
                  <pic:spPr bwMode="auto">
                    <a:xfrm>
                      <a:off x="0" y="0"/>
                      <a:ext cx="260350" cy="104979"/>
                    </a:xfrm>
                    <a:prstGeom prst="rect">
                      <a:avLst/>
                    </a:prstGeom>
                    <a:noFill/>
                    <a:ln w="9525">
                      <a:noFill/>
                      <a:headEnd/>
                      <a:tailEnd/>
                    </a:ln>
                  </pic:spPr>
                </pic:pic>
              </a:graphicData>
            </a:graphic>
          </wp:inline>
        </w:drawing>
      </w:r>
      <w:r>
        <w:rPr>
          <w:rFonts w:ascii="Times New Roman" w:hAnsi="Times New Roman"/>
        </w:rPr>
        <w:t xml:space="preserve">-week plasma cell-free RNA draw per mother in each of the three named internal cohorts (</w:t>
      </w:r>
      <w:hyperlink r:id="rId89">
        <w:r>
          <w:rPr>
            <w:rStyle w:val="Hyperlink"/>
          </w:rPr>
          <w:t xml:space="preserve">https://www.ncbi.nlm.nih.gov/geo/query/acc.cgi?acc=GSE192902</w:t>
        </w:r>
      </w:hyperlink>
      <w:r>
        <w:rPr>
          <w:rFonts w:ascii="Times New Roman" w:hAnsi="Times New Roman"/>
        </w:rPr>
        <w:t xml:space="preserve">). All 404 GEO sample titles mapped to the post-QC count columns, and no maternal ID crossed cohorts. We retained Discovery 13 PE and 36 controls, Validation 1 three PE and 19 controls, and Validation 2 sixteen PE and 40 controls, totaling 127 first prenatal draws. The gene GPAT3 was absent in all count matrices; five of six panel genes could be evaluated. The frozen downward direction agreed for just 2/5, 1/5, and 3/5 genes in the three cohorts, far below the registered 5/5 criterion. FES standardized effects were +0.036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53.png" id="0" name="Picture"/>
                    <pic:cNvPicPr>
                      <a:picLocks noChangeArrowheads="1" noChangeAspect="1"/>
                    </pic:cNvPicPr>
                  </pic:nvPicPr>
                  <pic:blipFill>
                    <a:blip r:embed="rId90"/>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-0.402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55.png" id="0" name="Picture"/>
                    <pic:cNvPicPr>
                      <a:picLocks noChangeArrowheads="1" noChangeAspect="1"/>
                    </pic:cNvPicPr>
                  </pic:nvPicPr>
                  <pic:blipFill>
                    <a:blip r:embed="rId9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-0.361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57.png" id="0" name="Picture"/>
                    <pic:cNvPicPr>
                      <a:picLocks noChangeArrowheads="1" noChangeAspect="1"/>
                    </pic:cNvPicPr>
                  </pic:nvPicPr>
                  <pic:blipFill>
                    <a:blip r:embed="rId92"/>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respectively. No gene reached the corrected threshold in two internal cohorts.</w:t>
      </w:r>
    </w:p>
    <w:p>
      <w:pPr>
        <w:pStyle w:val="TableCaption"/>
      </w:pPr>
      <w:r>
        <w:rPr>
          <w:rFonts w:ascii="Times New Roman" w:hAnsi="Times New Roman"/>
        </w:rPr>
        <w:t xml:space="preserve">P11 first-</w:t>
      </w:r>
      <m:oMath>
        <m:r>
          <m:t>≤</m:t>
        </m:r>
        <m:r>
          <m:t>12</m:t>
        </m:r>
      </m:oMath>
      <w:r>
        <w:rPr>
          <w:rFonts w:ascii="Times New Roman" w:hAnsi="Times New Roman"/>
        </w:rPr>
        <w:t xml:space="preserve">-week plasma cfRNA transport effects. Each cell is Hedges</w:t>
      </w:r>
      <w:r>
        <w:rPr>
          <w:rFonts w:ascii="Times New Roman" w:hAnsi="Times New Roman"/>
        </w:rPr>
        <w:t xml:space="preserve"> </w:t>
      </w:r>
      <m:oMath>
        <m:r>
          <m:t>g</m:t>
        </m:r>
      </m:oMath>
      <w:r>
        <w:rPr>
          <w:rFonts w:ascii="Times New Roman" w:hAnsi="Times New Roman"/>
        </w:rPr>
        <w:t xml:space="preserve"> </w:t>
      </w:r>
      <w:r>
        <w:rPr>
          <w:rFonts w:ascii="Times New Roman" w:hAnsi="Times New Roman"/>
        </w:rPr>
        <w:t xml:space="preserve">(uncorrected two-sided Welch</w:t>
      </w:r>
      <w:r>
        <w:rPr>
          <w:rFonts w:ascii="Times New Roman" w:hAnsi="Times New Roman"/>
        </w:rPr>
        <w:t xml:space="preserve"> </w:t>
      </w:r>
      <m:oMath>
        <m:r>
          <m:t>p</m:t>
        </m:r>
      </m:oMath>
      <w:r>
        <w:rPr>
          <w:rFonts w:ascii="Times New Roman" w:hAnsi="Times New Roman"/>
        </w:rPr>
        <w:t xml:space="preserve">), PE minus controls; negative is the frozen predicted direction. Discovery: 13/36 PE/control mothers; Validation 1: 3/19; Validation 2: 16/40. GPAT3 is not measurable. These internal cohorts come from one GSE, and none passes the five-of-five down-sign rule. Source: results/pe_cfrna_p11.csv.</w:t>
      </w:r>
    </w:p>
    <w:tbl>
      <w:tblPr>
        <w:tblStyle w:val="Table"/>
        <w:tblW w:type="pct" w:w="0.0"/>
        <w:tblLayout w:type="fixed"/>
        <w:tblLook w:firstRow="1"/>
        <w:tblCaption w:val="P11 first-\leq12-week plasma cfRNA transport effects. Each cell is Hedges g (uncorrected two-sided Welch p), PE minus controls; negative is the frozen predicted direction. Discovery: 13/36 PE/control mothers; Validation 1: 3/19; Validation 2: 16/40. GPAT3 is not measurable. These internal cohorts come from one GSE, and none passes the five-of-five down-sign rule. Source: results/pe_cfrna_p11.csv."/>
      </w:tblPr>
      <w:tblGrid>
        <w:gridCol w:w="2625"/>
        <w:gridCol w:w="2250"/>
        <w:gridCol w:w="2062"/>
        <w:gridCol w:w="2437"/>
      </w:tblGrid>
      <w:tr>
        <w:trPr>
          <w:cnfStyle w:firstRow="1"/>
        </w:trPr>
        <w:tc>
          <w:tcPr>
            <w:tcW w:type="dxa" w:w="2625"/>
            <w:tcBorders>
              <w:bottom w:val="single"/>
            </w:tcBorders>
            <w:vAlign w:val="bottom"/>
          </w:tcPr>
          <w:p>
            <w:pPr>
              <w:pStyle w:val="Compact"/>
              <w:jc w:val="left"/>
            </w:pPr>
            <w:r>
              <w:rPr>
                <w:rFonts w:ascii="Times New Roman" w:hAnsi="Times New Roman"/>
                <w:sz w:val="17"/>
              </w:rPr>
              <w:t xml:space="preserve">Gene</w:t>
            </w:r>
          </w:p>
        </w:tc>
        <w:tc>
          <w:tcPr>
            <w:tcW w:type="dxa" w:w="2250"/>
            <w:tcBorders>
              <w:bottom w:val="single"/>
            </w:tcBorders>
            <w:vAlign w:val="bottom"/>
          </w:tcPr>
          <w:p>
            <w:pPr>
              <w:pStyle w:val="Compact"/>
              <w:jc w:val="left"/>
            </w:pPr>
            <w:r>
              <w:rPr>
                <w:rFonts w:ascii="Times New Roman" w:hAnsi="Times New Roman"/>
                <w:sz w:val="17"/>
              </w:rPr>
              <w:t xml:space="preserve">Discovery</w:t>
            </w:r>
          </w:p>
        </w:tc>
        <w:tc>
          <w:tcPr>
            <w:tcW w:type="dxa" w:w="2062"/>
            <w:tcBorders>
              <w:bottom w:val="single"/>
            </w:tcBorders>
            <w:vAlign w:val="bottom"/>
          </w:tcPr>
          <w:p>
            <w:pPr>
              <w:pStyle w:val="Compact"/>
              <w:jc w:val="left"/>
            </w:pPr>
            <w:r>
              <w:rPr>
                <w:rFonts w:ascii="Times New Roman" w:hAnsi="Times New Roman"/>
                <w:sz w:val="17"/>
              </w:rPr>
              <w:t xml:space="preserve">Validation 1</w:t>
            </w:r>
          </w:p>
        </w:tc>
        <w:tc>
          <w:tcPr>
            <w:tcW w:type="dxa" w:w="2437"/>
            <w:tcBorders>
              <w:bottom w:val="single"/>
            </w:tcBorders>
            <w:vAlign w:val="bottom"/>
          </w:tcPr>
          <w:p>
            <w:pPr>
              <w:pStyle w:val="Compact"/>
              <w:jc w:val="left"/>
            </w:pPr>
            <w:r>
              <w:rPr>
                <w:rFonts w:ascii="Times New Roman" w:hAnsi="Times New Roman"/>
                <w:sz w:val="17"/>
              </w:rPr>
              <w:t xml:space="preserve">Validation 2</w:t>
            </w:r>
          </w:p>
        </w:tc>
      </w:tr>
      <w:tr>
        <w:tc>
          <w:tcPr>
            <w:tcW w:type="dxa" w:w="2625"/>
          </w:tcPr>
          <w:p>
            <w:pPr>
              <w:pStyle w:val="Compact"/>
              <w:jc w:val="left"/>
            </w:pPr>
            <w:r>
              <w:rPr>
                <w:rFonts w:ascii="Times New Roman" w:hAnsi="Times New Roman"/>
                <w:sz w:val="17"/>
              </w:rPr>
              <w:t xml:space="preserve">FES</w:t>
            </w:r>
          </w:p>
        </w:tc>
        <w:tc>
          <w:tcPr>
            <w:tcW w:type="dxa" w:w="2250"/>
          </w:tcPr>
          <w:p>
            <w:pPr>
              <w:pStyle w:val="Compact"/>
              <w:jc w:val="left"/>
            </w:pPr>
            <w:r>
              <w:rPr>
                <w:rFonts w:ascii="Times New Roman" w:hAnsi="Times New Roman"/>
                <w:sz w:val="17"/>
              </w:rPr>
              <w:t xml:space="preserve">+0.04 (0.912)</w:t>
            </w:r>
          </w:p>
        </w:tc>
        <w:tc>
          <w:tcPr>
            <w:tcW w:type="dxa" w:w="2062"/>
          </w:tcPr>
          <w:p>
            <w:pPr>
              <w:pStyle w:val="Compact"/>
              <w:jc w:val="left"/>
            </w:pPr>
            <w:r>
              <w:rPr>
                <w:rFonts w:ascii="Times New Roman" w:hAnsi="Times New Roman"/>
                <w:sz w:val="17"/>
              </w:rPr>
              <w:t xml:space="preserve">-0.40 (0.680)</w:t>
            </w:r>
          </w:p>
        </w:tc>
        <w:tc>
          <w:tcPr>
            <w:tcW w:type="dxa" w:w="2437"/>
          </w:tcPr>
          <w:p>
            <w:pPr>
              <w:pStyle w:val="Compact"/>
              <w:jc w:val="left"/>
            </w:pPr>
            <w:r>
              <w:rPr>
                <w:rFonts w:ascii="Times New Roman" w:hAnsi="Times New Roman"/>
                <w:sz w:val="17"/>
              </w:rPr>
              <w:t xml:space="preserve">-0.36 (0.215)</w:t>
            </w:r>
          </w:p>
        </w:tc>
      </w:tr>
      <w:tr>
        <w:tc>
          <w:tcPr>
            <w:tcW w:type="dxa" w:w="2625"/>
          </w:tcPr>
          <w:p>
            <w:pPr>
              <w:pStyle w:val="Compact"/>
              <w:jc w:val="left"/>
            </w:pPr>
            <w:r>
              <w:rPr>
                <w:rFonts w:ascii="Times New Roman" w:hAnsi="Times New Roman"/>
                <w:sz w:val="17"/>
              </w:rPr>
              <w:t xml:space="preserve">GPAT3</w:t>
            </w:r>
          </w:p>
        </w:tc>
        <w:tc>
          <w:tcPr>
            <w:tcW w:type="dxa" w:w="2250"/>
          </w:tcPr>
          <w:p>
            <w:pPr>
              <w:pStyle w:val="Compact"/>
              <w:jc w:val="left"/>
            </w:pPr>
            <w:r>
              <w:rPr>
                <w:rFonts w:ascii="Times New Roman" w:hAnsi="Times New Roman"/>
                <w:sz w:val="17"/>
              </w:rPr>
              <w:t xml:space="preserve">not measured</w:t>
            </w:r>
          </w:p>
        </w:tc>
        <w:tc>
          <w:tcPr>
            <w:tcW w:type="dxa" w:w="2062"/>
          </w:tcPr>
          <w:p>
            <w:pPr>
              <w:pStyle w:val="Compact"/>
              <w:jc w:val="left"/>
            </w:pPr>
            <w:r>
              <w:rPr>
                <w:rFonts w:ascii="Times New Roman" w:hAnsi="Times New Roman"/>
                <w:sz w:val="17"/>
              </w:rPr>
              <w:t xml:space="preserve">not measured</w:t>
            </w:r>
          </w:p>
        </w:tc>
        <w:tc>
          <w:tcPr>
            <w:tcW w:type="dxa" w:w="2437"/>
          </w:tcPr>
          <w:p>
            <w:pPr>
              <w:pStyle w:val="Compact"/>
              <w:jc w:val="left"/>
            </w:pPr>
            <w:r>
              <w:rPr>
                <w:rFonts w:ascii="Times New Roman" w:hAnsi="Times New Roman"/>
                <w:sz w:val="17"/>
              </w:rPr>
              <w:t xml:space="preserve">not measured</w:t>
            </w:r>
          </w:p>
        </w:tc>
      </w:tr>
      <w:tr>
        <w:tc>
          <w:tcPr>
            <w:tcW w:type="dxa" w:w="2625"/>
          </w:tcPr>
          <w:p>
            <w:pPr>
              <w:pStyle w:val="Compact"/>
              <w:jc w:val="left"/>
            </w:pPr>
            <w:r>
              <w:rPr>
                <w:rFonts w:ascii="Times New Roman" w:hAnsi="Times New Roman"/>
                <w:sz w:val="17"/>
              </w:rPr>
              <w:t xml:space="preserve">FURIN</w:t>
            </w:r>
          </w:p>
        </w:tc>
        <w:tc>
          <w:tcPr>
            <w:tcW w:type="dxa" w:w="2250"/>
          </w:tcPr>
          <w:p>
            <w:pPr>
              <w:pStyle w:val="Compact"/>
              <w:jc w:val="left"/>
            </w:pPr>
            <w:r>
              <w:rPr>
                <w:rFonts w:ascii="Times New Roman" w:hAnsi="Times New Roman"/>
                <w:sz w:val="17"/>
              </w:rPr>
              <w:t xml:space="preserve">+0.44 (0.224)</w:t>
            </w:r>
          </w:p>
        </w:tc>
        <w:tc>
          <w:tcPr>
            <w:tcW w:type="dxa" w:w="2062"/>
          </w:tcPr>
          <w:p>
            <w:pPr>
              <w:pStyle w:val="Compact"/>
              <w:jc w:val="left"/>
            </w:pPr>
            <w:r>
              <w:rPr>
                <w:rFonts w:ascii="Times New Roman" w:hAnsi="Times New Roman"/>
                <w:sz w:val="17"/>
              </w:rPr>
              <w:t xml:space="preserve">+0.86 (0.082)</w:t>
            </w:r>
          </w:p>
        </w:tc>
        <w:tc>
          <w:tcPr>
            <w:tcW w:type="dxa" w:w="2437"/>
          </w:tcPr>
          <w:p>
            <w:pPr>
              <w:pStyle w:val="Compact"/>
              <w:jc w:val="left"/>
            </w:pPr>
            <w:r>
              <w:rPr>
                <w:rFonts w:ascii="Times New Roman" w:hAnsi="Times New Roman"/>
                <w:sz w:val="17"/>
              </w:rPr>
              <w:t xml:space="preserve">+0.26 (0.377)</w:t>
            </w:r>
          </w:p>
        </w:tc>
      </w:tr>
      <w:tr>
        <w:tc>
          <w:tcPr>
            <w:tcW w:type="dxa" w:w="2625"/>
          </w:tcPr>
          <w:p>
            <w:pPr>
              <w:pStyle w:val="Compact"/>
              <w:jc w:val="left"/>
            </w:pPr>
            <w:r>
              <w:rPr>
                <w:rFonts w:ascii="Times New Roman" w:hAnsi="Times New Roman"/>
                <w:sz w:val="17"/>
              </w:rPr>
              <w:t xml:space="preserve">GRAMD1A</w:t>
            </w:r>
          </w:p>
        </w:tc>
        <w:tc>
          <w:tcPr>
            <w:tcW w:type="dxa" w:w="2250"/>
          </w:tcPr>
          <w:p>
            <w:pPr>
              <w:pStyle w:val="Compact"/>
              <w:jc w:val="left"/>
            </w:pPr>
            <w:r>
              <w:rPr>
                <w:rFonts w:ascii="Times New Roman" w:hAnsi="Times New Roman"/>
                <w:sz w:val="17"/>
              </w:rPr>
              <w:t xml:space="preserve">-0.19 (0.663)</w:t>
            </w:r>
          </w:p>
        </w:tc>
        <w:tc>
          <w:tcPr>
            <w:tcW w:type="dxa" w:w="2062"/>
          </w:tcPr>
          <w:p>
            <w:pPr>
              <w:pStyle w:val="Compact"/>
              <w:jc w:val="left"/>
            </w:pPr>
            <w:r>
              <w:rPr>
                <w:rFonts w:ascii="Times New Roman" w:hAnsi="Times New Roman"/>
                <w:sz w:val="17"/>
              </w:rPr>
              <w:t xml:space="preserve">+1.22 (0.133)</w:t>
            </w:r>
          </w:p>
        </w:tc>
        <w:tc>
          <w:tcPr>
            <w:tcW w:type="dxa" w:w="2437"/>
          </w:tcPr>
          <w:p>
            <w:pPr>
              <w:pStyle w:val="Compact"/>
              <w:jc w:val="left"/>
            </w:pPr>
            <w:r>
              <w:rPr>
                <w:rFonts w:ascii="Times New Roman" w:hAnsi="Times New Roman"/>
                <w:sz w:val="17"/>
              </w:rPr>
              <w:t xml:space="preserve">+0.00 (0.986)</w:t>
            </w:r>
          </w:p>
        </w:tc>
      </w:tr>
      <w:tr>
        <w:tc>
          <w:tcPr>
            <w:tcW w:type="dxa" w:w="2625"/>
          </w:tcPr>
          <w:p>
            <w:pPr>
              <w:pStyle w:val="Compact"/>
              <w:jc w:val="left"/>
            </w:pPr>
            <w:r>
              <w:rPr>
                <w:rFonts w:ascii="Times New Roman" w:hAnsi="Times New Roman"/>
                <w:sz w:val="17"/>
              </w:rPr>
              <w:t xml:space="preserve">ZNF467</w:t>
            </w:r>
          </w:p>
        </w:tc>
        <w:tc>
          <w:tcPr>
            <w:tcW w:type="dxa" w:w="2250"/>
          </w:tcPr>
          <w:p>
            <w:pPr>
              <w:pStyle w:val="Compact"/>
              <w:jc w:val="left"/>
            </w:pPr>
            <w:r>
              <w:rPr>
                <w:rFonts w:ascii="Times New Roman" w:hAnsi="Times New Roman"/>
                <w:sz w:val="17"/>
              </w:rPr>
              <w:t xml:space="preserve">+0.26 (0.379)</w:t>
            </w:r>
          </w:p>
        </w:tc>
        <w:tc>
          <w:tcPr>
            <w:tcW w:type="dxa" w:w="2062"/>
          </w:tcPr>
          <w:p>
            <w:pPr>
              <w:pStyle w:val="Compact"/>
              <w:jc w:val="left"/>
            </w:pPr>
            <w:r>
              <w:rPr>
                <w:rFonts w:ascii="Times New Roman" w:hAnsi="Times New Roman"/>
                <w:sz w:val="17"/>
              </w:rPr>
              <w:t xml:space="preserve">+0.31 (0.763)</w:t>
            </w:r>
          </w:p>
        </w:tc>
        <w:tc>
          <w:tcPr>
            <w:tcW w:type="dxa" w:w="2437"/>
          </w:tcPr>
          <w:p>
            <w:pPr>
              <w:pStyle w:val="Compact"/>
              <w:jc w:val="left"/>
            </w:pPr>
            <w:r>
              <w:rPr>
                <w:rFonts w:ascii="Times New Roman" w:hAnsi="Times New Roman"/>
                <w:sz w:val="17"/>
              </w:rPr>
              <w:t xml:space="preserve">-0.22 (0.505)</w:t>
            </w:r>
          </w:p>
        </w:tc>
      </w:tr>
      <w:tr>
        <w:tc>
          <w:tcPr>
            <w:tcW w:type="dxa" w:w="2625"/>
          </w:tcPr>
          <w:p>
            <w:pPr>
              <w:pStyle w:val="Compact"/>
              <w:jc w:val="left"/>
            </w:pPr>
            <w:r>
              <w:rPr>
                <w:rFonts w:ascii="Times New Roman" w:hAnsi="Times New Roman"/>
                <w:sz w:val="17"/>
              </w:rPr>
              <w:t xml:space="preserve">LPGAT1</w:t>
            </w:r>
          </w:p>
        </w:tc>
        <w:tc>
          <w:tcPr>
            <w:tcW w:type="dxa" w:w="2250"/>
          </w:tcPr>
          <w:p>
            <w:pPr>
              <w:pStyle w:val="Compact"/>
              <w:jc w:val="left"/>
            </w:pPr>
            <w:r>
              <w:rPr>
                <w:rFonts w:ascii="Times New Roman" w:hAnsi="Times New Roman"/>
                <w:sz w:val="17"/>
              </w:rPr>
              <w:t xml:space="preserve">-0.10 (0.802)</w:t>
            </w:r>
          </w:p>
        </w:tc>
        <w:tc>
          <w:tcPr>
            <w:tcW w:type="dxa" w:w="2062"/>
          </w:tcPr>
          <w:p>
            <w:pPr>
              <w:pStyle w:val="Compact"/>
              <w:jc w:val="left"/>
            </w:pPr>
            <w:r>
              <w:rPr>
                <w:rFonts w:ascii="Times New Roman" w:hAnsi="Times New Roman"/>
                <w:sz w:val="17"/>
              </w:rPr>
              <w:t xml:space="preserve">+0.42 (0.117)</w:t>
            </w:r>
          </w:p>
        </w:tc>
        <w:tc>
          <w:tcPr>
            <w:tcW w:type="dxa" w:w="2437"/>
          </w:tcPr>
          <w:p>
            <w:pPr>
              <w:pStyle w:val="Compact"/>
              <w:jc w:val="left"/>
            </w:pPr>
            <w:r>
              <w:rPr>
                <w:rFonts w:ascii="Times New Roman" w:hAnsi="Times New Roman"/>
                <w:sz w:val="17"/>
              </w:rPr>
              <w:t xml:space="preserve">-0.25 (0.390)</w:t>
            </w:r>
          </w:p>
        </w:tc>
      </w:tr>
    </w:tbl>
    <w:p>
      <w:pPr>
        <w:pStyle w:val="BodyText"/>
      </w:pPr>
      <w:r>
        <w:rPr>
          <w:rFonts w:ascii="Times New Roman" w:hAnsi="Times New Roman"/>
        </w:rPr>
        <w:t xml:space="preserve">The expression modality is circulating RNA, not placental tissue; this failed transport cannot refute a tissue-specific placental FES effect, but it does block a claim of general early blood-based predictive portability. These 127 sample IDs are nested in one GSE, not independent studies. The full sample mappings and every measured effect remain in</w:t>
      </w:r>
      <w:r>
        <w:rPr>
          <w:rFonts w:ascii="Times New Roman" w:hAnsi="Times New Roman"/>
        </w:rPr>
        <w:t xml:space="preserve"> </w:t>
      </w:r>
      <w:r>
        <w:rPr>
          <w:rStyle w:val="VerbatimChar"/>
          <w:rFonts w:ascii="Times New Roman" w:hAnsi="Times New Roman"/>
        </w:rPr>
        <w:t xml:space="preserve">results/pe_cfrna_p11.csv</w:t>
      </w:r>
      <w:r>
        <w:rPr>
          <w:rFonts w:ascii="Times New Roman" w:hAnsi="Times New Roman"/>
        </w:rPr>
        <w:t xml:space="preserve"> </w:t>
      </w:r>
      <w:r>
        <w:rPr>
          <w:rFonts w:ascii="Times New Roman" w:hAnsi="Times New Roman"/>
        </w:rPr>
        <w:t xml:space="preserve">and its companion ledgers.</w:t>
      </w:r>
    </w:p>
    <w:p>
      <w:pPr>
        <w:pStyle w:val="Heading2"/>
      </w:pPr>
      <w:bookmarkStart w:id="93" w:name="X88690a80822f3052fcaa8c2c6e18beb46f63a13"/>
      <w:r>
        <w:rPr>
          <w:rFonts w:ascii="Times New Roman" w:hAnsi="Times New Roman"/>
        </w:rPr>
        <w:t xml:space="preserve">P12-P13 placental challenges of a fixed six-gene panel</w:t>
      </w:r>
      <w:bookmarkEnd w:id="93"/>
    </w:p>
    <w:p>
      <w:pPr>
        <w:pStyle w:val="FirstParagraph"/>
      </w:pPr>
      <w:r>
        <w:rPr>
          <w:rFonts w:ascii="Times New Roman" w:hAnsi="Times New Roman"/>
        </w:rPr>
        <w:t xml:space="preserve">We next checked the same frozen six DOWN directions in three placental GEO deposits, with the decisions registered before each deposit’s expression matrix was opened. They are not new discoveries: the panel was chosen using old discovery and validation outcomes and examined in P10 and P11 before these studies. A fresh study-level outcome cannot restore the original prospective status. The studies also differ in disease severity, fetal-growth-restriction status, gestational timing and expression processing. The statistical unit is one woman in each of these three deposits, rather than the twin placenta in P10 or repeated draw in P11.</w:t>
      </w:r>
    </w:p>
    <w:p>
      <w:pPr>
        <w:pStyle w:val="BodyText"/>
      </w:pPr>
      <w:r>
        <w:rPr>
          <w:rFonts w:ascii="Times New Roman" w:hAnsi="Times New Roman"/>
        </w:rPr>
        <w:t xml:space="preserve">In GSE190971 we used only the thirteen placenta mRNA samples, seven PE and six controls, rather than the 10K and 150K extracellular-vesicle arms, which share participant identifiers with the placenta samples (</w:t>
      </w:r>
      <w:hyperlink r:id="rId94">
        <w:r>
          <w:rPr>
            <w:rStyle w:val="Hyperlink"/>
          </w:rPr>
          <w:t xml:space="preserve">https://www.ncbi.nlm.nih.gov/geo/query/acc.cgi?acc=GSE190971</w:t>
        </w:r>
      </w:hyperlink>
      <w:r>
        <w:rPr>
          <w:rFonts w:ascii="Times New Roman" w:hAnsi="Times New Roman"/>
        </w:rPr>
        <w:t xml:space="preserve">). All thirteen raw-count columns mapped to unique GEO titles and GSMs and the related assay arms had consistent per-person phenotype labels. On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(CPM+1), FES was down with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58.png" id="0" name="Picture"/>
                    <pic:cNvPicPr>
                      <a:picLocks noChangeArrowheads="1" noChangeAspect="1"/>
                    </pic:cNvPicPr>
                  </pic:nvPicPr>
                  <pic:blipFill>
                    <a:blip r:embed="rId9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uncorrected two-sided Welch</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059.png" id="0" name="Picture"/>
                    <pic:cNvPicPr>
                      <a:picLocks noChangeArrowheads="1" noChangeAspect="1"/>
                    </pic:cNvPicPr>
                  </pic:nvPicPr>
                  <pic:blipFill>
                    <a:blip r:embed="rId96"/>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below the six-gene Bonferroni threshold 0.00833. GPAT3 was up,</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61.png" id="0" name="Picture"/>
                    <pic:cNvPicPr>
                      <a:picLocks noChangeArrowheads="1" noChangeAspect="1"/>
                    </pic:cNvPicPr>
                  </pic:nvPicPr>
                  <pic:blipFill>
                    <a:blip r:embed="rId97"/>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62.png" id="0" name="Picture"/>
                    <pic:cNvPicPr>
                      <a:picLocks noChangeArrowheads="1" noChangeAspect="1"/>
                    </pic:cNvPicPr>
                  </pic:nvPicPr>
                  <pic:blipFill>
                    <a:blip r:embed="rId98"/>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the other four genes were down. The registered all-six-down panel criterion therefore fails at five of six, despite the strong FES component. Recounting the repeated EV arms as independent people would be false replication. All six gene effects and per-GSM count mappings are in</w:t>
      </w:r>
      <w:r>
        <w:rPr>
          <w:rFonts w:ascii="Times New Roman" w:hAnsi="Times New Roman"/>
        </w:rPr>
        <w:t xml:space="preserve"> </w:t>
      </w:r>
      <w:r>
        <w:rPr>
          <w:rStyle w:val="VerbatimChar"/>
          <w:rFonts w:ascii="Times New Roman" w:hAnsi="Times New Roman"/>
        </w:rPr>
        <w:t xml:space="preserve">results/pe_plac_p12*</w:t>
      </w:r>
      <w:r>
        <w:rPr>
          <w:rFonts w:ascii="Times New Roman" w:hAnsi="Times New Roman"/>
        </w:rPr>
        <w:t xml:space="preserve">.</w:t>
      </w:r>
    </w:p>
    <w:p>
      <w:pPr>
        <w:pStyle w:val="BodyText"/>
      </w:pPr>
      <w:r>
        <w:rPr>
          <w:rFonts w:ascii="Times New Roman" w:hAnsi="Times New Roman"/>
        </w:rPr>
        <w:t xml:space="preserve">P13 specified a two-study test of the same six signs. GSE186257 provided a deposited filtered, DESeq2-normalized matrix, not raw counts, and all 44 columns mapped exactly to GEO titles and GSMs (26 severe PE, 18 nonhypertensive controls;</w:t>
      </w:r>
      <w:r>
        <w:rPr>
          <w:rFonts w:ascii="Times New Roman" w:hAnsi="Times New Roman"/>
        </w:rPr>
        <w:t xml:space="preserve"> </w:t>
      </w:r>
      <w:hyperlink r:id="rId99">
        <w:r>
          <w:rPr>
            <w:rStyle w:val="Hyperlink"/>
          </w:rPr>
          <w:t xml:space="preserve">https://www.ncbi.nlm.nih.gov/geo/query/acc.cgi?acc=GSE186257</w:t>
        </w:r>
      </w:hyperlink>
      <w:r>
        <w:rPr>
          <w:rFonts w:ascii="Times New Roman" w:hAnsi="Times New Roman"/>
        </w:rPr>
        <w:t xml:space="preserve">). After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(normalized value+1), all six effects pointed down. FURIN</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63.png" id="0" name="Picture"/>
                    <pic:cNvPicPr>
                      <a:picLocks noChangeArrowheads="1" noChangeAspect="1"/>
                    </pic:cNvPicPr>
                  </pic:nvPicPr>
                  <pic:blipFill>
                    <a:blip r:embed="rId10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064.png" id="0" name="Picture"/>
                    <pic:cNvPicPr>
                      <a:picLocks noChangeArrowheads="1" noChangeAspect="1"/>
                    </pic:cNvPicPr>
                  </pic:nvPicPr>
                  <pic:blipFill>
                    <a:blip r:embed="rId101"/>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ZNF467</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65.png" id="0" name="Picture"/>
                    <pic:cNvPicPr>
                      <a:picLocks noChangeArrowheads="1" noChangeAspect="1"/>
                    </pic:cNvPicPr>
                  </pic:nvPicPr>
                  <pic:blipFill>
                    <a:blip r:embed="rId10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066.png" id="0" name="Picture"/>
                    <pic:cNvPicPr>
                      <a:picLocks noChangeArrowheads="1" noChangeAspect="1"/>
                    </pic:cNvPicPr>
                  </pic:nvPicPr>
                  <pic:blipFill>
                    <a:blip r:embed="rId103"/>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passed the local six-gene threshold; FES was down</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67.png" id="0" name="Picture"/>
                    <pic:cNvPicPr>
                      <a:picLocks noChangeArrowheads="1" noChangeAspect="1"/>
                    </pic:cNvPicPr>
                  </pic:nvPicPr>
                  <pic:blipFill>
                    <a:blip r:embed="rId104"/>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nominal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68.png" id="0" name="Picture"/>
                    <pic:cNvPicPr>
                      <a:picLocks noChangeArrowheads="1" noChangeAspect="1"/>
                    </pic:cNvPicPr>
                  </pic:nvPicPr>
                  <pic:blipFill>
                    <a:blip r:embed="rId105"/>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but not corrected. This single-study success does not meet the P13 two-study rule.</w:t>
      </w:r>
    </w:p>
    <w:p>
      <w:pPr>
        <w:pStyle w:val="BodyText"/>
      </w:pPr>
      <w:r>
        <w:rPr>
          <w:rFonts w:ascii="Times New Roman" w:hAnsi="Times New Roman"/>
        </w:rPr>
        <w:t xml:space="preserve">GSE114691 sampled placentas at birth. Its 21 control and 20 PE-only count columns mapped one-to-one through GEO’s sample-description tokens to unique GSMs; the separate 18 IUGR-only and 20 PE+IUGR samples were excluded from the primary test (</w:t>
      </w:r>
      <w:hyperlink r:id="rId106">
        <w:r>
          <w:rPr>
            <w:rStyle w:val="Hyperlink"/>
          </w:rPr>
          <w:t xml:space="preserve">https://www.ncbi.nlm.nih.gov/geo/query/acc.cgi?acc=GSE114691</w:t>
        </w:r>
      </w:hyperlink>
      <w:r>
        <w:rPr>
          <w:rFonts w:ascii="Times New Roman" w:hAnsi="Times New Roman"/>
        </w:rPr>
        <w:t xml:space="preserve">). The release uses</w:t>
      </w:r>
      <w:r>
        <w:rPr>
          <w:rFonts w:ascii="Times New Roman" w:hAnsi="Times New Roman"/>
        </w:rPr>
        <w:t xml:space="preserve"> </w:t>
      </w:r>
      <w:r>
        <w:rPr>
          <w:rStyle w:val="VerbatimChar"/>
          <w:rFonts w:ascii="Times New Roman" w:hAnsi="Times New Roman"/>
        </w:rPr>
        <w:t xml:space="preserve">ENST</w:t>
      </w:r>
      <w:r>
        <w:rPr>
          <w:rFonts w:ascii="Times New Roman" w:hAnsi="Times New Roman"/>
        </w:rPr>
        <w:t xml:space="preserve"> </w:t>
      </w:r>
      <w:r>
        <w:rPr>
          <w:rFonts w:ascii="Times New Roman" w:hAnsi="Times New Roman"/>
        </w:rPr>
        <w:t xml:space="preserve">transcript IDs, unlike the other gene-level matrices. A documented Ensembl transcript membership lookup found 17 FES, seven GPAT3, three FURIN, fourteen GRAMD1A, two ZNF467 and four LPGAT1 transcript IDs in the historical file. Summing each gene’s matched transcript counts and applying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(CPM+1) gave FES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69.png" id="0" name="Picture"/>
                    <pic:cNvPicPr>
                      <a:picLocks noChangeArrowheads="1" noChangeAspect="1"/>
                    </pic:cNvPicPr>
                  </pic:nvPicPr>
                  <pic:blipFill>
                    <a:blip r:embed="rId107"/>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070.png" id="0" name="Picture"/>
                    <pic:cNvPicPr>
                      <a:picLocks noChangeArrowheads="1" noChangeAspect="1"/>
                    </pic:cNvPicPr>
                  </pic:nvPicPr>
                  <pic:blipFill>
                    <a:blip r:embed="rId108"/>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but FURIN reversed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71.png" id="0" name="Picture"/>
                    <pic:cNvPicPr>
                      <a:picLocks noChangeArrowheads="1" noChangeAspect="1"/>
                    </pic:cNvPicPr>
                  </pic:nvPicPr>
                  <pic:blipFill>
                    <a:blip r:embed="rId109"/>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72.png" id="0" name="Picture"/>
                    <pic:cNvPicPr>
                      <a:picLocks noChangeArrowheads="1" noChangeAspect="1"/>
                    </pic:cNvPicPr>
                  </pic:nvPicPr>
                  <pic:blipFill>
                    <a:blip r:embed="rId110"/>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Five of six directions agreed, so the registered two-study panel criterion</w:t>
      </w:r>
      <w:r>
        <w:rPr>
          <w:rFonts w:ascii="Times New Roman" w:hAnsi="Times New Roman"/>
        </w:rPr>
        <w:t xml:space="preserve"> </w:t>
      </w:r>
      <w:r>
        <w:rPr>
          <w:rFonts w:ascii="Times New Roman" w:hAnsi="Times New Roman"/>
          <w:i/>
        </w:rPr>
        <w:t xml:space="preserve">fails</w:t>
      </w:r>
      <w:r>
        <w:rPr>
          <w:rFonts w:ascii="Times New Roman" w:hAnsi="Times New Roman"/>
        </w:rPr>
        <w:t xml:space="preserve">. Current Ensembl transcript membership may omit historical hg19 isoforms; this analysis is a bounded gene-extraction sensitivity, not an exhaustive original annotation reprocessing. The exact selected transcript IDs, source checksums, column-to-GSM mapping, and six effects are recorded in</w:t>
      </w:r>
      <w:r>
        <w:rPr>
          <w:rFonts w:ascii="Times New Roman" w:hAnsi="Times New Roman"/>
        </w:rPr>
        <w:t xml:space="preserve"> </w:t>
      </w:r>
      <w:r>
        <w:rPr>
          <w:rStyle w:val="VerbatimChar"/>
          <w:rFonts w:ascii="Times New Roman" w:hAnsi="Times New Roman"/>
        </w:rPr>
        <w:t xml:space="preserve">results/pe_plac_p13*</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results/external/p13_ensembl_transcript_map.json</w:t>
      </w:r>
      <w:r>
        <w:rPr>
          <w:rFonts w:ascii="Times New Roman" w:hAnsi="Times New Roman"/>
        </w:rPr>
        <w:t xml:space="preserve">. The RCSB Protein Data Bank identifies resolved human FES kinase structures, including 8XKP (2.05 Å) and 3BKB (1.78 Å), and confirms the protein is not a purely in-silico gene label (</w:t>
      </w:r>
      <w:hyperlink r:id="rId111">
        <w:r>
          <w:rPr>
            <w:rStyle w:val="Hyperlink"/>
          </w:rPr>
          <w:t xml:space="preserve">https://www.rcsb.org/structure/8XKP</w:t>
        </w:r>
      </w:hyperlink>
      <w:r>
        <w:rPr>
          <w:rFonts w:ascii="Times New Roman" w:hAnsi="Times New Roman"/>
        </w:rPr>
        <w:t xml:space="preserve">;</w:t>
      </w:r>
      <w:r>
        <w:rPr>
          <w:rFonts w:ascii="Times New Roman" w:hAnsi="Times New Roman"/>
        </w:rPr>
        <w:t xml:space="preserve"> </w:t>
      </w:r>
      <w:hyperlink r:id="rId112">
        <w:r>
          <w:rPr>
            <w:rStyle w:val="Hyperlink"/>
          </w:rPr>
          <w:t xml:space="preserve">https://www.rcsb.org/structure/3BKB</w:t>
        </w:r>
      </w:hyperlink>
      <w:r>
        <w:rPr>
          <w:rFonts w:ascii="Times New Roman" w:hAnsi="Times New Roman"/>
        </w:rPr>
        <w:t xml:space="preserve">). Crystal structures establish molecular context only: they do not show PE association, placental mechanism, treatment efficacy, or safety in pregnancy. Separately, BioGRID records 40 interactors and 53 curated interactions for the human FES record, with BCR and HSH2D example interaction pages using affinity capture and other experimental assays (</w:t>
      </w:r>
      <w:hyperlink r:id="rId113">
        <w:r>
          <w:rPr>
            <w:rStyle w:val="Hyperlink"/>
          </w:rPr>
          <w:t xml:space="preserve">https://thebiogrid.org/108533/summary/homo-sapiens/fes.html</w:t>
        </w:r>
      </w:hyperlink>
      <w:r>
        <w:rPr>
          <w:rFonts w:ascii="Times New Roman" w:hAnsi="Times New Roman"/>
        </w:rPr>
        <w:t xml:space="preserve">;</w:t>
      </w:r>
      <w:r>
        <w:rPr>
          <w:rFonts w:ascii="Times New Roman" w:hAnsi="Times New Roman"/>
        </w:rPr>
        <w:t xml:space="preserve"> </w:t>
      </w:r>
      <w:hyperlink r:id="rId114">
        <w:r>
          <w:rPr>
            <w:rStyle w:val="Hyperlink"/>
          </w:rPr>
          <w:t xml:space="preserve">https://thebiogrid.org/interaction/317111</w:t>
        </w:r>
      </w:hyperlink>
      <w:r>
        <w:rPr>
          <w:rFonts w:ascii="Times New Roman" w:hAnsi="Times New Roman"/>
        </w:rPr>
        <w:t xml:space="preserve">). Interactions from assorted tissues and studies do not identify a PE causal pathway or support clinical use. GlyGen independently curates ten FES phosphorylation-site entries, including two source-specific records at Tyr713 for P07332-1 (</w:t>
      </w:r>
      <w:hyperlink r:id="rId115">
        <w:r>
          <w:rPr>
            <w:rStyle w:val="Hyperlink"/>
          </w:rPr>
          <w:t xml:space="preserve">https://glygen.org/protein/P07332-1</w:t>
        </w:r>
      </w:hyperlink>
      <w:r>
        <w:rPr>
          <w:rFonts w:ascii="Times New Roman" w:hAnsi="Times New Roman"/>
        </w:rPr>
        <w:t xml:space="preserve">; API</w:t>
      </w:r>
      <w:r>
        <w:rPr>
          <w:rFonts w:ascii="Times New Roman" w:hAnsi="Times New Roman"/>
        </w:rPr>
        <w:t xml:space="preserve"> </w:t>
      </w:r>
      <w:hyperlink r:id="rId116">
        <w:r>
          <w:rPr>
            <w:rStyle w:val="Hyperlink"/>
          </w:rPr>
          <w:t xml:space="preserve">https://api.glygen.org/protein/detail/P07332-1</w:t>
        </w:r>
      </w:hyperlink>
      <w:r>
        <w:rPr>
          <w:rFonts w:ascii="Times New Roman" w:hAnsi="Times New Roman"/>
        </w:rPr>
        <w:t xml:space="preserve">). These are site entries rather than ten unique residues or placental phosphoproteomics; RNA abundance cannot establish kinase activity. The returned tissue and disease expression subsets lack placenta and PE entries, but absence in these limited lists is not evidence of biological absence. The separate iPTMnet P07332 entry lists FES as a phosphorylation enzyme for BCR Y177 and PECAM1 Y690 (</w:t>
      </w:r>
      <w:hyperlink r:id="rId117">
        <w:r>
          <w:rPr>
            <w:rStyle w:val="Hyperlink"/>
          </w:rPr>
          <w:t xml:space="preserve">https://research.bioinformatics.udel.edu/iptmnet/entry/P07332/</w:t>
        </w:r>
      </w:hyperlink>
      <w:r>
        <w:rPr>
          <w:rFonts w:ascii="Times New Roman" w:hAnsi="Times New Roman"/>
        </w:rPr>
        <w:t xml:space="preserve">). It aggregates overlapping literature and databases, not a separate placenta-specific kinase experiment; these example substrates do not establish a PE pathway. This repeated down FES effect in nonexchangeable at-birth placental cohorts is a falsifiable descriptive signal, but because FES was selected after the earlier panels, has tissue and case-mix confounding, and lacks an untouched prospectively sampled pregnancy cohort, it does not yet satisfy a novel biomarker claim. The three new GSEs contribute 98 used GSM accession records, not 98 new studies. An additional source-metadata check sharpens the confounding limit: in GSE190971, all six normal-placenta controls are recorded without IUGR and delivered from 38 to 41+2 weeks, while six of seven PE records are marked IUGR and their legible delivery ages range from 27+1 to 35+5 weeks. The seventh PE record has malformed or absent fields at the expected positions, so it is not assigned an IUGR or delivery-age value. In GSE186257, small-for-gestational-age status occurs in 25/26 severe PE versus 8/18 controls. Thus the repeated FES placenta effect cannot be separated from growth restriction, gestational timing or tissue composition by these comparisons. These imbalances are from the GEO sample metadata, not fitted adjustment results. An explicitly post-outcome within-study SGA stratum check in GSE186257 retains 25 severe PE and 8 controls: FES is still down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73.png" id="0" name="Picture"/>
                    <pic:cNvPicPr>
                      <a:picLocks noChangeArrowheads="1" noChangeAspect="1"/>
                    </pic:cNvPicPr>
                  </pic:nvPicPr>
                  <pic:blipFill>
                    <a:blip r:embed="rId118"/>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but its uncorrected Welch</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74.png" id="0" name="Picture"/>
                    <pic:cNvPicPr>
                      <a:picLocks noChangeArrowheads="1" noChangeAspect="1"/>
                    </pic:cNvPicPr>
                  </pic:nvPicPr>
                  <pic:blipFill>
                    <a:blip r:embed="rId11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There is just one non-SGA PE, so a non-SGA contrast cannot estimate a reliable variance. Male-only (12/12) FES has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75.png" id="0" name="Picture"/>
                    <pic:cNvPicPr>
                      <a:picLocks noChangeArrowheads="1" noChangeAspect="1"/>
                    </pic:cNvPicPr>
                  </pic:nvPicPr>
                  <pic:blipFill>
                    <a:blip r:embed="rId12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76.png" id="0" name="Picture"/>
                    <pic:cNvPicPr>
                      <a:picLocks noChangeArrowheads="1" noChangeAspect="1"/>
                    </pic:cNvPicPr>
                  </pic:nvPicPr>
                  <pic:blipFill>
                    <a:blip r:embed="rId121"/>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female-only (14/6) has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77.png" id="0" name="Picture"/>
                    <pic:cNvPicPr>
                      <a:picLocks noChangeArrowheads="1" noChangeAspect="1"/>
                    </pic:cNvPicPr>
                  </pic:nvPicPr>
                  <pic:blipFill>
                    <a:blip r:embed="rId12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78.png" id="0" name="Picture"/>
                    <pic:cNvPicPr>
                      <a:picLocks noChangeArrowheads="1" noChangeAspect="1"/>
                    </pic:cNvPicPr>
                  </pic:nvPicPr>
                  <pic:blipFill>
                    <a:blip r:embed="rId12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These descriptive strata are small, were selected after viewing the group imbalance, and cannot causally adjust for an SGA label possibly downstream of PE. A further post-selection descriptive four-study random-effects combination of the already inspected FES placental effects gives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79.png" id="0" name="Picture"/>
                    <pic:cNvPicPr>
                      <a:picLocks noChangeArrowheads="1" noChangeAspect="1"/>
                    </pic:cNvPicPr>
                  </pic:nvPicPr>
                  <pic:blipFill>
                    <a:blip r:embed="rId124"/>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between-study</w:t>
      </w:r>
      <w:r>
        <w:rPr>
          <w:rFonts w:ascii="Times New Roman" w:hAnsi="Times New Roman"/>
        </w:rPr>
        <w:t xml:space="preserve"> </w:t>
      </w:r>
      <w:r>
        <w:rPr>
          <w:rFonts w:ascii="Times New Roman" w:hAnsi="Times New Roman"/>
        </w:rPr>
        <w:drawing>
          <wp:inline>
            <wp:extent cx="582930" cy="101910"/>
            <wp:effectExtent b="0" l="0" r="0" t="0"/>
            <wp:docPr descr="image" title="" id="1" name="Picture"/>
            <a:graphic>
              <a:graphicData uri="http://schemas.openxmlformats.org/drawingml/2006/picture">
                <pic:pic>
                  <pic:nvPicPr>
                    <pic:cNvPr descr="equations/in080.png" id="0" name="Picture"/>
                    <pic:cNvPicPr>
                      <a:picLocks noChangeArrowheads="1" noChangeAspect="1"/>
                    </pic:cNvPicPr>
                  </pic:nvPicPr>
                  <pic:blipFill>
                    <a:blip r:embed="rId125"/>
                    <a:stretch>
                      <a:fillRect/>
                    </a:stretch>
                  </pic:blipFill>
                  <pic:spPr bwMode="auto">
                    <a:xfrm>
                      <a:off x="0" y="0"/>
                      <a:ext cx="582930" cy="10191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raw</w:t>
      </w:r>
      <w:r>
        <w:rPr>
          <w:rFonts w:ascii="Times New Roman" w:hAnsi="Times New Roman"/>
        </w:rPr>
        <w:t xml:space="preserve"> </w:t>
      </w:r>
      <w:r>
        <w:rPr>
          <w:rFonts w:ascii="Times New Roman" w:hAnsi="Times New Roman"/>
        </w:rPr>
        <w:drawing>
          <wp:inline>
            <wp:extent cx="579119" cy="101244"/>
            <wp:effectExtent b="0" l="0" r="0" t="0"/>
            <wp:docPr descr="image" title="" id="1" name="Picture"/>
            <a:graphic>
              <a:graphicData uri="http://schemas.openxmlformats.org/drawingml/2006/picture">
                <pic:pic>
                  <pic:nvPicPr>
                    <pic:cNvPr descr="equations/in081.png" id="0" name="Picture"/>
                    <pic:cNvPicPr>
                      <a:picLocks noChangeArrowheads="1" noChangeAspect="1"/>
                    </pic:cNvPicPr>
                  </pic:nvPicPr>
                  <pic:blipFill>
                    <a:blip r:embed="rId126"/>
                    <a:stretch>
                      <a:fillRect/>
                    </a:stretch>
                  </pic:blipFill>
                  <pic:spPr bwMode="auto">
                    <a:xfrm>
                      <a:off x="0" y="0"/>
                      <a:ext cx="579119" cy="101244"/>
                    </a:xfrm>
                    <a:prstGeom prst="rect">
                      <a:avLst/>
                    </a:prstGeom>
                    <a:noFill/>
                    <a:ln w="9525">
                      <a:noFill/>
                      <a:headEnd/>
                      <a:tailEnd/>
                    </a:ln>
                  </pic:spPr>
                </pic:pic>
              </a:graphicData>
            </a:graphic>
          </wp:inline>
        </w:drawing>
      </w:r>
      <w:r>
        <w:rPr>
          <w:rFonts w:ascii="Times New Roman" w:hAnsi="Times New Roman"/>
        </w:rPr>
        <w:t xml:space="preserve">. A normal-reference 95% interval</w:t>
      </w:r>
      <w:r>
        <w:rPr>
          <w:rFonts w:ascii="Times New Roman" w:hAnsi="Times New Roman"/>
        </w:rPr>
        <w:t xml:space="preserve"> </w:t>
      </w:r>
      <w:r>
        <w:rPr>
          <w:rFonts w:ascii="Times New Roman" w:hAnsi="Times New Roman"/>
        </w:rPr>
        <w:drawing>
          <wp:inline>
            <wp:extent cx="899160" cy="126126"/>
            <wp:effectExtent b="0" l="0" r="0" t="0"/>
            <wp:docPr descr="image" title="" id="1" name="Picture"/>
            <a:graphic>
              <a:graphicData uri="http://schemas.openxmlformats.org/drawingml/2006/picture">
                <pic:pic>
                  <pic:nvPicPr>
                    <pic:cNvPr descr="equations/in082.png" id="0" name="Picture"/>
                    <pic:cNvPicPr>
                      <a:picLocks noChangeArrowheads="1" noChangeAspect="1"/>
                    </pic:cNvPicPr>
                  </pic:nvPicPr>
                  <pic:blipFill>
                    <a:blip r:embed="rId127"/>
                    <a:stretch>
                      <a:fillRect/>
                    </a:stretch>
                  </pic:blipFill>
                  <pic:spPr bwMode="auto">
                    <a:xfrm>
                      <a:off x="0" y="0"/>
                      <a:ext cx="899160" cy="12612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excludes zero, but a rough 95% prediction interval</w:t>
      </w:r>
      <w:r>
        <w:rPr>
          <w:rFonts w:ascii="Times New Roman" w:hAnsi="Times New Roman"/>
        </w:rPr>
        <w:t xml:space="preserve"> </w:t>
      </w:r>
      <w:r>
        <w:rPr>
          <w:rFonts w:ascii="Times New Roman" w:hAnsi="Times New Roman"/>
        </w:rPr>
        <w:drawing>
          <wp:inline>
            <wp:extent cx="899160" cy="126126"/>
            <wp:effectExtent b="0" l="0" r="0" t="0"/>
            <wp:docPr descr="image" title="" id="1" name="Picture"/>
            <a:graphic>
              <a:graphicData uri="http://schemas.openxmlformats.org/drawingml/2006/picture">
                <pic:pic>
                  <pic:nvPicPr>
                    <pic:cNvPr descr="equations/in083.png" id="0" name="Picture"/>
                    <pic:cNvPicPr>
                      <a:picLocks noChangeArrowheads="1" noChangeAspect="1"/>
                    </pic:cNvPicPr>
                  </pic:nvPicPr>
                  <pic:blipFill>
                    <a:blip r:embed="rId128"/>
                    <a:stretch>
                      <a:fillRect/>
                    </a:stretch>
                  </pic:blipFill>
                  <pic:spPr bwMode="auto">
                    <a:xfrm>
                      <a:off x="0" y="0"/>
                      <a:ext cx="899160" cy="12612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crosses zero. With only four discordant studies, Hartung–Knapp</w:t>
      </w:r>
      <w:r>
        <w:rPr>
          <w:rFonts w:ascii="Times New Roman" w:hAnsi="Times New Roman"/>
        </w:rPr>
        <w:t xml:space="preserve"> </w:t>
      </w:r>
      <w:r>
        <w:rPr>
          <w:rFonts w:ascii="Times New Roman" w:hAnsi="Times New Roman"/>
        </w:rPr>
        <w:drawing>
          <wp:inline>
            <wp:extent cx="45720" cy="68580"/>
            <wp:effectExtent b="0" l="0" r="0" t="0"/>
            <wp:docPr descr="image" title="" id="1" name="Picture"/>
            <a:graphic>
              <a:graphicData uri="http://schemas.openxmlformats.org/drawingml/2006/picture">
                <pic:pic>
                  <pic:nvPicPr>
                    <pic:cNvPr descr="equations/in047.png" id="0" name="Picture"/>
                    <pic:cNvPicPr>
                      <a:picLocks noChangeArrowheads="1" noChangeAspect="1"/>
                    </pic:cNvPicPr>
                  </pic:nvPicPr>
                  <pic:blipFill>
                    <a:blip r:embed="rId84"/>
                    <a:stretch>
                      <a:fillRect/>
                    </a:stretch>
                  </pic:blipFill>
                  <pic:spPr bwMode="auto">
                    <a:xfrm>
                      <a:off x="0" y="0"/>
                      <a:ext cx="45720" cy="6858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reference yields</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84.png" id="0" name="Picture"/>
                    <pic:cNvPicPr>
                      <a:picLocks noChangeArrowheads="1" noChangeAspect="1"/>
                    </pic:cNvPicPr>
                  </pic:nvPicPr>
                  <pic:blipFill>
                    <a:blip r:embed="rId12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leave-one-study-out</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ranges from 0.0339 to 0.1303, and the non-twin three-study sensitivity yields</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87.png" id="0" name="Picture"/>
                    <pic:cNvPicPr>
                      <a:picLocks noChangeArrowheads="1" noChangeAspect="1"/>
                    </pic:cNvPicPr>
                  </pic:nvPicPr>
                  <pic:blipFill>
                    <a:blip r:embed="rId13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These calculations were performed after FES was selected and observed in all cohorts, so none is an independent confirmation or a PE-specific effect. Exact input rows and output are in</w:t>
      </w:r>
      <w:r>
        <w:rPr>
          <w:rFonts w:ascii="Times New Roman" w:hAnsi="Times New Roman"/>
        </w:rPr>
        <w:t xml:space="preserve"> </w:t>
      </w:r>
      <w:r>
        <w:rPr>
          <w:rStyle w:val="VerbatimChar"/>
          <w:rFonts w:ascii="Times New Roman" w:hAnsi="Times New Roman"/>
        </w:rPr>
        <w:t xml:space="preserve">results/pe_fes_placenta_meta_cohorts.csv</w:t>
      </w:r>
      <w:r>
        <w:rPr>
          <w:rFonts w:ascii="Times New Roman" w:hAnsi="Times New Roman"/>
        </w:rPr>
        <w:t xml:space="preserve"> </w:t>
      </w:r>
      <w:r>
        <w:rPr>
          <w:rFonts w:ascii="Times New Roman" w:hAnsi="Times New Roman"/>
        </w:rPr>
        <w:t xml:space="preserve">and its exploratory JSON. Full six-gene subgroup effects are in</w:t>
      </w:r>
      <w:r>
        <w:rPr>
          <w:rFonts w:ascii="Times New Roman" w:hAnsi="Times New Roman"/>
        </w:rPr>
        <w:t xml:space="preserve"> </w:t>
      </w:r>
      <w:r>
        <w:rPr>
          <w:rStyle w:val="VerbatimChar"/>
          <w:rFonts w:ascii="Times New Roman" w:hAnsi="Times New Roman"/>
        </w:rPr>
        <w:t xml:space="preserve">results/pe_p13_sga_sensitivity.csv</w:t>
      </w:r>
      <w:r>
        <w:rPr>
          <w:rFonts w:ascii="Times New Roman" w:hAnsi="Times New Roman"/>
        </w:rPr>
        <w:t xml:space="preserve">.</w:t>
      </w:r>
    </w:p>
    <w:p>
      <w:pPr>
        <w:pStyle w:val="Heading2"/>
      </w:pPr>
      <w:bookmarkStart w:id="131" w:name="X933094bd9b6fea88218286251d84f72820afab3"/>
      <w:r>
        <w:rPr>
          <w:rFonts w:ascii="Times New Roman" w:hAnsi="Times New Roman"/>
        </w:rPr>
        <w:t xml:space="preserve">P14 re-mapped hypertensive-disorder deposit: a reuse-risk challenge</w:t>
      </w:r>
      <w:bookmarkEnd w:id="131"/>
    </w:p>
    <w:p>
      <w:pPr>
        <w:pStyle w:val="FirstParagraph"/>
      </w:pPr>
      <w:r>
        <w:rPr>
          <w:rFonts w:ascii="Times New Roman" w:hAnsi="Times New Roman"/>
        </w:rPr>
        <w:t xml:space="preserve">A later GEO deposit, GSE303463, supplies raw placental count columns for 168 GSMs across two sequencing platforms (</w:t>
      </w:r>
      <w:hyperlink r:id="rId132">
        <w:r>
          <w:rPr>
            <w:rStyle w:val="Hyperlink"/>
          </w:rPr>
          <w:t xml:space="preserve">https://www.ncbi.nlm.nih.gov/geo/query/acc.cgi?acc=GSE303463</w:t>
        </w:r>
      </w:hyperlink>
      <w:r>
        <w:rPr>
          <w:rFonts w:ascii="Times New Roman" w:hAnsi="Times New Roman"/>
        </w:rPr>
        <w:t xml:space="preserve">). Its own study design says previously derived GSE186257, GSE234729, and PRJNA1027377 material was re-mapped alongside newly derived material. Because GSE186257 was already used for P13, distinct identifiers in the later deposit are not evidence of independent participants. We recorded an exploratory analysis plan before opening this deposit’s FES count row, but FES had already been selected and tested in earlier cohorts. P14 cannot be a prospective discovery or independent replication. These 168 new GSM identifiers are omitted from the used-accession tally pending patient-level source mapping.</w:t>
      </w:r>
    </w:p>
    <w:p>
      <w:pPr>
        <w:pStyle w:val="BodyText"/>
      </w:pPr>
      <w:r>
        <w:rPr>
          <w:rFonts w:ascii="Times New Roman" w:hAnsi="Times New Roman"/>
        </w:rPr>
        <w:t xml:space="preserve">All 168 raw-count title columns mapped one-to-one to the GEO series-matrix GSM identifiers. We normalized each sample by its mapped-count library total, computed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(CPM+1), and compared disease exactly PE with exactly Normal, excluding superimposed PE and chronic/gestational hypertension. All 22 PE cases were on the GPL34281 platform; the pooled 22 PE/68 Normal contrast mixes platform with disease, despite its FES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88.png" id="0" name="Picture"/>
                    <pic:cNvPicPr>
                      <a:picLocks noChangeArrowheads="1" noChangeAspect="1"/>
                    </pic:cNvPicPr>
                  </pic:nvPicPr>
                  <pic:blipFill>
                    <a:blip r:embed="rId133"/>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nominal Welch</w:t>
      </w:r>
      <w:r>
        <w:rPr>
          <w:rFonts w:ascii="Times New Roman" w:hAnsi="Times New Roman"/>
        </w:rPr>
        <w:t xml:space="preserve"> </w:t>
      </w:r>
      <w:r>
        <w:rPr>
          <w:rFonts w:ascii="Times New Roman" w:hAnsi="Times New Roman"/>
        </w:rPr>
        <w:drawing>
          <wp:inline>
            <wp:extent cx="867410" cy="126838"/>
            <wp:effectExtent b="0" l="0" r="0" t="0"/>
            <wp:docPr descr="image" title="" id="1" name="Picture"/>
            <a:graphic>
              <a:graphicData uri="http://schemas.openxmlformats.org/drawingml/2006/picture">
                <pic:pic>
                  <pic:nvPicPr>
                    <pic:cNvPr descr="equations/in089.png" id="0" name="Picture"/>
                    <pic:cNvPicPr>
                      <a:picLocks noChangeArrowheads="1" noChangeAspect="1"/>
                    </pic:cNvPicPr>
                  </pic:nvPicPr>
                  <pic:blipFill>
                    <a:blip r:embed="rId134"/>
                    <a:stretch>
                      <a:fillRect/>
                    </a:stretch>
                  </pic:blipFill>
                  <pic:spPr bwMode="auto">
                    <a:xfrm>
                      <a:off x="0" y="0"/>
                      <a:ext cx="867410" cy="126838"/>
                    </a:xfrm>
                    <a:prstGeom prst="rect">
                      <a:avLst/>
                    </a:prstGeom>
                    <a:noFill/>
                    <a:ln w="9525">
                      <a:noFill/>
                      <a:headEnd/>
                      <a:tailEnd/>
                    </a:ln>
                  </pic:spPr>
                </pic:pic>
              </a:graphicData>
            </a:graphic>
          </wp:inline>
        </w:drawing>
      </w:r>
      <w:r>
        <w:rPr>
          <w:rFonts w:ascii="Times New Roman" w:hAnsi="Times New Roman"/>
        </w:rPr>
        <w:t xml:space="preserve">. Restricting to GPL34281 gives 22 PE/60 Normal,</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90.png" id="0" name="Picture"/>
                    <pic:cNvPicPr>
                      <a:picLocks noChangeArrowheads="1" noChangeAspect="1"/>
                    </pic:cNvPicPr>
                  </pic:nvPicPr>
                  <pic:blipFill>
                    <a:blip r:embed="rId13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091.png" id="0" name="Picture"/>
                    <pic:cNvPicPr>
                      <a:picLocks noChangeArrowheads="1" noChangeAspect="1"/>
                    </pic:cNvPicPr>
                  </pic:nvPicPr>
                  <pic:blipFill>
                    <a:blip r:embed="rId136"/>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The age-overlap 34–39-week subset gives 13/41,</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92.png" id="0" name="Picture"/>
                    <pic:cNvPicPr>
                      <a:picLocks noChangeArrowheads="1" noChangeAspect="1"/>
                    </pic:cNvPicPr>
                  </pic:nvPicPr>
                  <pic:blipFill>
                    <a:blip r:embed="rId137"/>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093.png" id="0" name="Picture"/>
                    <pic:cNvPicPr>
                      <a:picLocks noChangeArrowheads="1" noChangeAspect="1"/>
                    </pic:cNvPicPr>
                  </pic:nvPicPr>
                  <pic:blipFill>
                    <a:blip r:embed="rId138"/>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these are delivery, not prediagnostic, ages. Median delivery week is 35 in PE versus 39 in Normal. Placental maternal vascular malperfusion (MVM) is recorded in 13/22 PE and 4/68 Normal. Within GPL34281, non-MVM gives 9/56,</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94.png" id="0" name="Picture"/>
                    <pic:cNvPicPr>
                      <a:picLocks noChangeArrowheads="1" noChangeAspect="1"/>
                    </pic:cNvPicPr>
                  </pic:nvPicPr>
                  <pic:blipFill>
                    <a:blip r:embed="rId139"/>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095.png" id="0" name="Picture"/>
                    <pic:cNvPicPr>
                      <a:picLocks noChangeArrowheads="1" noChangeAspect="1"/>
                    </pic:cNvPicPr>
                  </pic:nvPicPr>
                  <pic:blipFill>
                    <a:blip r:embed="rId14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while MVM gives 13/4,</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096.png" id="0" name="Picture"/>
                    <pic:cNvPicPr>
                      <a:picLocks noChangeArrowheads="1" noChangeAspect="1"/>
                    </pic:cNvPicPr>
                  </pic:nvPicPr>
                  <pic:blipFill>
                    <a:blip r:embed="rId14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97.png" id="0" name="Picture"/>
                    <pic:cNvPicPr>
                      <a:picLocks noChangeArrowheads="1" noChangeAspect="1"/>
                    </pic:cNvPicPr>
                  </pic:nvPicPr>
                  <pic:blipFill>
                    <a:blip r:embed="rId142"/>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 descriptive same-platform OLS conditioned on gestational week and MVM gives a PE coefficient of -0.380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(CPM+1), nominal</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099.png" id="0" name="Picture"/>
                    <pic:cNvPicPr>
                      <a:picLocks noChangeArrowheads="1" noChangeAspect="1"/>
                    </pic:cNvPicPr>
                  </pic:nvPicPr>
                  <pic:blipFill>
                    <a:blip r:embed="rId143"/>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but conditioning on delivery pathology or week can introduce mediation and selection bias. None of these post-selected, potentially reused contrasts establishes specificity to PE, diagnosis before delivery, clinical utility, or a new discovery. The matrix SHA-256, exact per-GSM map and every group count are in</w:t>
      </w:r>
      <w:r>
        <w:rPr>
          <w:rFonts w:ascii="Times New Roman" w:hAnsi="Times New Roman"/>
        </w:rPr>
        <w:t xml:space="preserve"> </w:t>
      </w:r>
      <w:r>
        <w:rPr>
          <w:rStyle w:val="VerbatimChar"/>
          <w:rFonts w:ascii="Times New Roman" w:hAnsi="Times New Roman"/>
        </w:rPr>
        <w:t xml:space="preserve">results/pe_p14_</w:t>
      </w:r>
      <w:r>
        <w:rPr>
          <w:rFonts w:ascii="Times New Roman" w:hAnsi="Times New Roman"/>
        </w:rPr>
        <w:t xml:space="preserve">; the analysis script is</w:t>
      </w:r>
      <w:r>
        <w:rPr>
          <w:rFonts w:ascii="Times New Roman" w:hAnsi="Times New Roman"/>
        </w:rPr>
        <w:t xml:space="preserve"> </w:t>
      </w:r>
      <w:r>
        <w:rPr>
          <w:rStyle w:val="VerbatimChar"/>
          <w:rFonts w:ascii="Times New Roman" w:hAnsi="Times New Roman"/>
        </w:rPr>
        <w:t xml:space="preserve">scripts/pe_p14_hdp_reuse_diagnostic.py</w:t>
      </w:r>
      <w:r>
        <w:rPr>
          <w:rFonts w:ascii="Times New Roman" w:hAnsi="Times New Roman"/>
        </w:rPr>
        <w:t xml:space="preserve">. The source authors’ paper (DOI</w:t>
      </w:r>
      <w:r>
        <w:rPr>
          <w:rFonts w:ascii="Times New Roman" w:hAnsi="Times New Roman"/>
        </w:rPr>
        <w:t xml:space="preserve"> </w:t>
      </w:r>
      <w:hyperlink r:id="rId144">
        <w:r>
          <w:rPr>
            <w:rStyle w:val="Hyperlink"/>
          </w:rPr>
          <w:t xml:space="preserve">https://doi.org/10.1161/atvbaha.125.323457</w:t>
        </w:r>
      </w:hyperlink>
      <w:r>
        <w:rPr>
          <w:rFonts w:ascii="Times New Roman" w:hAnsi="Times New Roman"/>
        </w:rPr>
        <w:t xml:space="preserve">) also frames its cohort as previously and newly obtained RNA-seq material.</w:t>
      </w:r>
    </w:p>
    <w:p>
      <w:pPr>
        <w:pStyle w:val="Heading1"/>
      </w:pPr>
      <w:bookmarkStart w:id="145" w:name="limitations-and-next-work"/>
      <w:r>
        <w:rPr>
          <w:rFonts w:ascii="Times New Roman" w:hAnsi="Times New Roman"/>
        </w:rPr>
        <w:t xml:space="preserve">Limitations and next work</w:t>
      </w:r>
      <w:bookmarkEnd w:id="145"/>
    </w:p>
    <w:p>
      <w:pPr>
        <w:pStyle w:val="FirstParagraph"/>
      </w:pPr>
      <w:r>
        <w:rPr>
          <w:rFonts w:ascii="Times New Roman" w:hAnsi="Times New Roman"/>
        </w:rPr>
        <w:t xml:space="preserve">Sample labels may be wrong where GEO metadata are incomplete; all included labels require audit. Cross-platform effect sizes standardize units but do not remove tissue, gestational-age, or case-definition confounding. Four PE cohorts differ in tissue, and a single PCOS cumulus cohort is insufficient for discovery. The exploratory PCOS gene signs in GSE304677 (17/18 measured) are not a registered confirmatory discovery; a post-hoc, direction-matched null gives</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0.png" id="0" name="Picture"/>
                    <pic:cNvPicPr>
                      <a:picLocks noChangeArrowheads="1" noChangeAspect="1"/>
                    </pic:cNvPicPr>
                  </pic:nvPicPr>
                  <pic:blipFill>
                    <a:blip r:embed="rId146"/>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while GSE277906 does not pass the naive</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101.png" id="0" name="Picture"/>
                    <pic:cNvPicPr>
                      <a:picLocks noChangeArrowheads="1" noChangeAspect="1"/>
                    </pic:cNvPicPr>
                  </pic:nvPicPr>
                  <pic:blipFill>
                    <a:blip r:embed="rId147"/>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threshold. After registration, GSE155489 showed 16/17 signs and direction-matched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2.png" id="0" name="Picture"/>
                    <pic:cNvPicPr>
                      <a:picLocks noChangeArrowheads="1" noChangeAspect="1"/>
                    </pic:cNvPicPr>
                  </pic:nvPicPr>
                  <pic:blipFill>
                    <a:blip r:embed="rId148"/>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but PBMC GSE262735 had 11/17 signs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3.png" id="0" name="Picture"/>
                    <pic:cNvPicPr>
                      <a:picLocks noChangeArrowheads="1" noChangeAspect="1"/>
                    </pic:cNvPicPr>
                  </pic:nvPicPr>
                  <pic:blipFill>
                    <a:blip r:embed="rId14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pooled-library granulosa GSE193123 had 12/18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4.png" id="0" name="Picture"/>
                    <pic:cNvPicPr>
                      <a:picLocks noChangeArrowheads="1" noChangeAspect="1"/>
                    </pic:cNvPicPr>
                  </pic:nvPicPr>
                  <pic:blipFill>
                    <a:blip r:embed="rId15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and a new 9-case/9-control follicular-granulosa cohort GSE293353 had 16/19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5.png" id="0" name="Picture"/>
                    <pic:cNvPicPr>
                      <a:picLocks noChangeArrowheads="1" noChangeAspect="1"/>
                    </pic:cNvPicPr>
                  </pic:nvPicPr>
                  <pic:blipFill>
                    <a:blip r:embed="rId151"/>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under its direction-matched null). These are mixed, not consistent validation. GSE173160 supplied 177,889 transcript IDs with no direct HGNC symbol matches and was excluded from this test by the registered mapping rule. A mostly upward selected gene set against an overall upward cohort shift makes a half-probability binomial null anti-conservative. One study can have multiple data depositions: unique accessions do not equal independent studies. We will count both levels and keep the accession-to-study mapping explicit. Only a comparison on matching published benchmark inputs and splits or an untouched, corrected, named discovery can satisfy the discovery gate. No clinical diagnostic inference is warranted.</w:t>
      </w:r>
    </w:p>
    <w:p>
      <w:pPr>
        <w:pStyle w:val="Heading1"/>
      </w:pPr>
      <w:bookmarkStart w:id="152" w:name="X5561af4c04088e14bad16fef44f43114d51d998"/>
      <w:r>
        <w:rPr>
          <w:rFonts w:ascii="Times New Roman" w:hAnsi="Times New Roman"/>
        </w:rPr>
        <w:t xml:space="preserve">Full cohort-level results and endpoint boundaries</w:t>
      </w:r>
      <w:bookmarkEnd w:id="152"/>
    </w:p>
    <w:p>
      <w:pPr>
        <w:pStyle w:val="Heading2"/>
      </w:pPr>
      <w:bookmarkStart w:id="153" w:name="discovery-availability-and-fragility"/>
      <w:r>
        <w:rPr>
          <w:rFonts w:ascii="Times New Roman" w:hAnsi="Times New Roman"/>
        </w:rPr>
        <w:t xml:space="preserve">Discovery availability and fragility</w:t>
      </w:r>
      <w:bookmarkEnd w:id="153"/>
    </w:p>
    <w:p>
      <w:pPr>
        <w:pStyle w:val="FirstParagraph"/>
      </w:pPr>
      <w:r>
        <w:rPr>
          <w:rFonts w:ascii="Times New Roman" w:hAnsi="Times New Roman"/>
        </w:rPr>
        <w:t xml:space="preserve">The original discovery split had nine disease labels with case/control expression analyses after filtering. A later targeted GEO search found an analyzable long-COVID arm (P36), which is reported separately rather than retroactively inserted into the original discovery split. The discovery-summary table records an especially uneven disease footprint. One-series Chagas, fibromyalgia and postpartum depression estimates cannot identify a between-study variance. A large number of significant genes from one setting does not by itself imply transport across tissues, collection protocols or patient populations. Preeclampsia draws on sixteen discovery series but spans blood and placental compartments; the total count alone is not a measure of homogeneity.</w:t>
      </w:r>
    </w:p>
    <w:p>
      <w:pPr>
        <w:pStyle w:val="Heading2"/>
      </w:pPr>
      <w:bookmarkStart w:id="154" w:name="full-fresh-cohort-disposition"/>
      <w:r>
        <w:rPr>
          <w:rFonts w:ascii="Times New Roman" w:hAnsi="Times New Roman"/>
        </w:rPr>
        <w:t xml:space="preserve">Full fresh-cohort disposition</w:t>
      </w:r>
      <w:bookmarkEnd w:id="154"/>
    </w:p>
    <w:p>
      <w:pPr>
        <w:pStyle w:val="FirstParagraph"/>
      </w:pPr>
      <w:r>
        <w:rPr>
          <w:rFonts w:ascii="Times New Roman" w:hAnsi="Times New Roman"/>
        </w:rPr>
        <w:t xml:space="preserve">The table below is generated from the exact committed per-cohort source ledger. The nine listed supplementary expression matrices are not exchangeable: the placenta, blood, villus, cumulus and ovarian granulosa materials each answer different biological questions. Each supplementary-matrix study is displayed once even when several registered hypotheses examined it; the separate GSE28242 series-matrix P7 and GSE293353 count-matrix P8 are analyzed later and are not silently part of this nine-row table. Case and control totals are library-level observations as in the GEO sample matrix; GSE193123 pooled two individuals into each library, so six libraries cannot be treated as twelve independent people. GEO’s metadata and supplementary matrices can be opened from the accession and exact links recorded in the source CSV.</w:t>
      </w:r>
    </w:p>
    <w:bookmarkStart w:id="155" w:name="tab:fresh"/>
    <w:p>
      <w:pPr>
        <w:pStyle w:val="TableCaption"/>
      </w:pPr>
      <w:r>
        <w:rPr>
          <w:rFonts w:ascii="Times New Roman" w:hAnsi="Times New Roman"/>
        </w:rPr>
        <w:t xml:space="preserve">Fresh RNA-seq cohorts and sample-library counts. Source URLs and complete metadata are in results/fresh_rnaseq_summary.csv. These series were not all used for the same hypothesis; an included row is not an independent replication of every candidate.</w:t>
      </w:r>
    </w:p>
    <w:tbl>
      <w:tblPr>
        <w:tblStyle w:val="Table"/>
        <w:tblW w:type="pct" w:w="0.0"/>
        <w:tblLayout w:type="fixed"/>
        <w:tblLook w:firstRow="1"/>
        <w:tblCaption w:val="Fresh RNA-seq cohorts and sample-library counts. Source URLs and complete metadata are in results/fresh_rnaseq_summary.csv. These series were not all used for the same hypothesis; an included row is not an independent replication of every candidate."/>
      </w:tblPr>
      <w:tblGrid>
        <w:gridCol w:w="1848"/>
        <w:gridCol w:w="1938"/>
        <w:gridCol w:w="1030"/>
        <w:gridCol w:w="1030"/>
        <w:gridCol w:w="1030"/>
        <w:gridCol w:w="1363"/>
        <w:gridCol w:w="1136"/>
      </w:tblGrid>
      <w:tr>
        <w:trPr>
          <w:cnfStyle w:firstRow="1"/>
        </w:trPr>
        <w:tc>
          <w:tcPr>
            <w:tcW w:type="dxa" w:w="1848"/>
            <w:tcBorders>
              <w:bottom w:val="single"/>
            </w:tcBorders>
            <w:vAlign w:val="bottom"/>
          </w:tcPr>
          <w:p>
            <w:pPr>
              <w:pStyle w:val="Compact"/>
              <w:jc w:val="left"/>
            </w:pPr>
            <w:r>
              <w:rPr>
                <w:rFonts w:ascii="Times New Roman" w:hAnsi="Times New Roman"/>
                <w:sz w:val="17"/>
              </w:rPr>
              <w:t xml:space="preserve">GEO</w:t>
            </w:r>
          </w:p>
        </w:tc>
        <w:tc>
          <w:tcPr>
            <w:tcW w:type="dxa" w:w="1938"/>
            <w:tcBorders>
              <w:bottom w:val="single"/>
            </w:tcBorders>
            <w:vAlign w:val="bottom"/>
          </w:tcPr>
          <w:p>
            <w:pPr>
              <w:pStyle w:val="Compact"/>
              <w:jc w:val="left"/>
            </w:pPr>
            <w:r>
              <w:rPr>
                <w:rFonts w:ascii="Times New Roman" w:hAnsi="Times New Roman"/>
                <w:sz w:val="17"/>
              </w:rPr>
              <w:t xml:space="preserve">Disease</w:t>
            </w:r>
          </w:p>
        </w:tc>
        <w:tc>
          <w:tcPr>
            <w:tcW w:type="dxa" w:w="1030"/>
            <w:tcBorders>
              <w:bottom w:val="single"/>
            </w:tcBorders>
            <w:vAlign w:val="bottom"/>
          </w:tcPr>
          <w:p>
            <w:pPr>
              <w:pStyle w:val="Compact"/>
              <w:jc w:val="right"/>
            </w:pPr>
            <w:r>
              <w:rPr>
                <w:rFonts w:ascii="Times New Roman" w:hAnsi="Times New Roman"/>
                <w:sz w:val="17"/>
              </w:rPr>
              <w:t xml:space="preserve">Cases</w:t>
            </w:r>
          </w:p>
        </w:tc>
        <w:tc>
          <w:tcPr>
            <w:tcW w:type="dxa" w:w="1030"/>
            <w:tcBorders>
              <w:bottom w:val="single"/>
            </w:tcBorders>
            <w:vAlign w:val="bottom"/>
          </w:tcPr>
          <w:p>
            <w:pPr>
              <w:pStyle w:val="Compact"/>
              <w:jc w:val="right"/>
            </w:pPr>
            <w:r>
              <w:rPr>
                <w:rFonts w:ascii="Times New Roman" w:hAnsi="Times New Roman"/>
                <w:sz w:val="17"/>
              </w:rPr>
              <w:t xml:space="preserve">Controls</w:t>
            </w:r>
          </w:p>
        </w:tc>
        <w:tc>
          <w:tcPr>
            <w:tcW w:type="dxa" w:w="1030"/>
            <w:tcBorders>
              <w:bottom w:val="single"/>
            </w:tcBorders>
            <w:vAlign w:val="bottom"/>
          </w:tcPr>
          <w:p>
            <w:pPr>
              <w:pStyle w:val="Compact"/>
              <w:jc w:val="right"/>
            </w:pPr>
            <w:r>
              <w:rPr>
                <w:rFonts w:ascii="Times New Roman" w:hAnsi="Times New Roman"/>
                <w:sz w:val="17"/>
              </w:rPr>
              <w:t xml:space="preserve">Genes</w:t>
            </w:r>
          </w:p>
        </w:tc>
        <w:tc>
          <w:tcPr>
            <w:tcW w:type="dxa" w:w="1363"/>
            <w:tcBorders>
              <w:bottom w:val="single"/>
            </w:tcBorders>
            <w:vAlign w:val="bottom"/>
          </w:tcPr>
          <w:p>
            <w:pPr>
              <w:pStyle w:val="Compact"/>
              <w:jc w:val="left"/>
            </w:pPr>
            <w:r>
              <w:rPr>
                <w:rFonts w:ascii="Times New Roman" w:hAnsi="Times New Roman"/>
                <w:sz w:val="17"/>
              </w:rPr>
              <w:t xml:space="preserve">Tissue</w:t>
            </w:r>
          </w:p>
        </w:tc>
        <w:tc>
          <w:tcPr>
            <w:tcW w:type="dxa" w:w="1136"/>
            <w:tcBorders>
              <w:bottom w:val="single"/>
            </w:tcBorders>
            <w:vAlign w:val="bottom"/>
          </w:tcPr>
          <w:p>
            <w:pPr>
              <w:pStyle w:val="Compact"/>
              <w:jc w:val="left"/>
            </w:pPr>
            <w:r>
              <w:rPr>
                <w:rFonts w:ascii="Times New Roman" w:hAnsi="Times New Roman"/>
                <w:sz w:val="17"/>
              </w:rPr>
              <w:t xml:space="preserve">Unit</w:t>
            </w:r>
          </w:p>
        </w:tc>
      </w:tr>
      <w:tr>
        <w:tc>
          <w:tcPr>
            <w:tcW w:type="dxa" w:w="1848"/>
          </w:tcPr>
          <w:p>
            <w:pPr>
              <w:pStyle w:val="Compact"/>
              <w:jc w:val="left"/>
            </w:pPr>
            <w:r>
              <w:rPr>
                <w:rFonts w:ascii="Times New Roman" w:hAnsi="Times New Roman"/>
                <w:sz w:val="17"/>
              </w:rPr>
              <w:t xml:space="preserve">GSE155489</w:t>
            </w:r>
          </w:p>
        </w:tc>
        <w:tc>
          <w:tcPr>
            <w:tcW w:type="dxa" w:w="1938"/>
          </w:tcPr>
          <w:p>
            <w:pPr>
              <w:pStyle w:val="Compact"/>
              <w:jc w:val="left"/>
            </w:pPr>
            <w:r>
              <w:rPr>
                <w:rFonts w:ascii="Times New Roman" w:hAnsi="Times New Roman"/>
                <w:sz w:val="17"/>
              </w:rPr>
              <w:t xml:space="preserve">pcos</w:t>
            </w:r>
          </w:p>
        </w:tc>
        <w:tc>
          <w:tcPr>
            <w:tcW w:type="dxa" w:w="1030"/>
          </w:tcPr>
          <w:p>
            <w:pPr>
              <w:pStyle w:val="Compact"/>
              <w:jc w:val="right"/>
            </w:pPr>
            <w:r>
              <w:rPr>
                <w:rFonts w:ascii="Times New Roman" w:hAnsi="Times New Roman"/>
                <w:sz w:val="17"/>
              </w:rPr>
              <w:t xml:space="preserve">4</w:t>
            </w:r>
          </w:p>
        </w:tc>
        <w:tc>
          <w:tcPr>
            <w:tcW w:type="dxa" w:w="1030"/>
          </w:tcPr>
          <w:p>
            <w:pPr>
              <w:pStyle w:val="Compact"/>
              <w:jc w:val="right"/>
            </w:pPr>
            <w:r>
              <w:rPr>
                <w:rFonts w:ascii="Times New Roman" w:hAnsi="Times New Roman"/>
                <w:sz w:val="17"/>
              </w:rPr>
              <w:t xml:space="preserve">4</w:t>
            </w:r>
          </w:p>
        </w:tc>
        <w:tc>
          <w:tcPr>
            <w:tcW w:type="dxa" w:w="1030"/>
          </w:tcPr>
          <w:p>
            <w:pPr>
              <w:pStyle w:val="Compact"/>
              <w:jc w:val="right"/>
            </w:pPr>
            <w:r>
              <w:rPr>
                <w:rFonts w:ascii="Times New Roman" w:hAnsi="Times New Roman"/>
                <w:sz w:val="17"/>
              </w:rPr>
              <w:t xml:space="preserve">22064</w:t>
            </w:r>
          </w:p>
        </w:tc>
        <w:tc>
          <w:tcPr>
            <w:tcW w:type="dxa" w:w="1363"/>
          </w:tcPr>
          <w:p>
            <w:pPr>
              <w:pStyle w:val="Compact"/>
              <w:jc w:val="left"/>
            </w:pPr>
            <w:r>
              <w:rPr>
                <w:rFonts w:ascii="Times New Roman" w:hAnsi="Times New Roman"/>
                <w:sz w:val="17"/>
              </w:rPr>
              <w:t xml:space="preserve">cumulus granulosa cells</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GSE262735</w:t>
            </w:r>
          </w:p>
        </w:tc>
        <w:tc>
          <w:tcPr>
            <w:tcW w:type="dxa" w:w="1938"/>
          </w:tcPr>
          <w:p>
            <w:pPr>
              <w:pStyle w:val="Compact"/>
              <w:jc w:val="left"/>
            </w:pPr>
            <w:r>
              <w:rPr>
                <w:rFonts w:ascii="Times New Roman" w:hAnsi="Times New Roman"/>
                <w:sz w:val="17"/>
              </w:rPr>
              <w:t xml:space="preserve">pcos</w:t>
            </w:r>
          </w:p>
        </w:tc>
        <w:tc>
          <w:tcPr>
            <w:tcW w:type="dxa" w:w="1030"/>
          </w:tcPr>
          <w:p>
            <w:pPr>
              <w:pStyle w:val="Compact"/>
              <w:jc w:val="right"/>
            </w:pPr>
            <w:r>
              <w:rPr>
                <w:rFonts w:ascii="Times New Roman" w:hAnsi="Times New Roman"/>
                <w:sz w:val="17"/>
              </w:rPr>
              <w:t xml:space="preserve">9</w:t>
            </w:r>
          </w:p>
        </w:tc>
        <w:tc>
          <w:tcPr>
            <w:tcW w:type="dxa" w:w="1030"/>
          </w:tcPr>
          <w:p>
            <w:pPr>
              <w:pStyle w:val="Compact"/>
              <w:jc w:val="right"/>
            </w:pPr>
            <w:r>
              <w:rPr>
                <w:rFonts w:ascii="Times New Roman" w:hAnsi="Times New Roman"/>
                <w:sz w:val="17"/>
              </w:rPr>
              <w:t xml:space="preserve">9</w:t>
            </w:r>
          </w:p>
        </w:tc>
        <w:tc>
          <w:tcPr>
            <w:tcW w:type="dxa" w:w="1030"/>
          </w:tcPr>
          <w:p>
            <w:pPr>
              <w:pStyle w:val="Compact"/>
              <w:jc w:val="right"/>
            </w:pPr>
            <w:r>
              <w:rPr>
                <w:rFonts w:ascii="Times New Roman" w:hAnsi="Times New Roman"/>
                <w:sz w:val="17"/>
              </w:rPr>
              <w:t xml:space="preserve">16655</w:t>
            </w:r>
          </w:p>
        </w:tc>
        <w:tc>
          <w:tcPr>
            <w:tcW w:type="dxa" w:w="1363"/>
          </w:tcPr>
          <w:p>
            <w:pPr>
              <w:pStyle w:val="Compact"/>
              <w:jc w:val="left"/>
            </w:pPr>
            <w:r>
              <w:rPr>
                <w:rFonts w:ascii="Times New Roman" w:hAnsi="Times New Roman"/>
                <w:sz w:val="17"/>
              </w:rPr>
              <w:t xml:space="preserve">PBMC monocytes</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GSE277906</w:t>
            </w:r>
          </w:p>
        </w:tc>
        <w:tc>
          <w:tcPr>
            <w:tcW w:type="dxa" w:w="1938"/>
          </w:tcPr>
          <w:p>
            <w:pPr>
              <w:pStyle w:val="Compact"/>
              <w:jc w:val="left"/>
            </w:pPr>
            <w:r>
              <w:rPr>
                <w:rFonts w:ascii="Times New Roman" w:hAnsi="Times New Roman"/>
                <w:sz w:val="17"/>
              </w:rPr>
              <w:t xml:space="preserve">pcos</w:t>
            </w:r>
          </w:p>
        </w:tc>
        <w:tc>
          <w:tcPr>
            <w:tcW w:type="dxa" w:w="1030"/>
          </w:tcPr>
          <w:p>
            <w:pPr>
              <w:pStyle w:val="Compact"/>
              <w:jc w:val="right"/>
            </w:pPr>
            <w:r>
              <w:rPr>
                <w:rFonts w:ascii="Times New Roman" w:hAnsi="Times New Roman"/>
                <w:sz w:val="17"/>
              </w:rPr>
              <w:t xml:space="preserve">23</w:t>
            </w:r>
          </w:p>
        </w:tc>
        <w:tc>
          <w:tcPr>
            <w:tcW w:type="dxa" w:w="1030"/>
          </w:tcPr>
          <w:p>
            <w:pPr>
              <w:pStyle w:val="Compact"/>
              <w:jc w:val="right"/>
            </w:pPr>
            <w:r>
              <w:rPr>
                <w:rFonts w:ascii="Times New Roman" w:hAnsi="Times New Roman"/>
                <w:sz w:val="17"/>
              </w:rPr>
              <w:t xml:space="preserve">17</w:t>
            </w:r>
          </w:p>
        </w:tc>
        <w:tc>
          <w:tcPr>
            <w:tcW w:type="dxa" w:w="1030"/>
          </w:tcPr>
          <w:p>
            <w:pPr>
              <w:pStyle w:val="Compact"/>
              <w:jc w:val="right"/>
            </w:pPr>
            <w:r>
              <w:rPr>
                <w:rFonts w:ascii="Times New Roman" w:hAnsi="Times New Roman"/>
                <w:sz w:val="17"/>
              </w:rPr>
              <w:t xml:space="preserve">13716</w:t>
            </w:r>
          </w:p>
        </w:tc>
        <w:tc>
          <w:tcPr>
            <w:tcW w:type="dxa" w:w="1363"/>
          </w:tcPr>
          <w:p>
            <w:pPr>
              <w:pStyle w:val="Compact"/>
              <w:jc w:val="left"/>
            </w:pPr>
            <w:r>
              <w:rPr>
                <w:rFonts w:ascii="Times New Roman" w:hAnsi="Times New Roman"/>
                <w:sz w:val="17"/>
              </w:rPr>
              <w:t xml:space="preserve">cumulus cells</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GSE304677</w:t>
            </w:r>
          </w:p>
        </w:tc>
        <w:tc>
          <w:tcPr>
            <w:tcW w:type="dxa" w:w="1938"/>
          </w:tcPr>
          <w:p>
            <w:pPr>
              <w:pStyle w:val="Compact"/>
              <w:jc w:val="left"/>
            </w:pPr>
            <w:r>
              <w:rPr>
                <w:rFonts w:ascii="Times New Roman" w:hAnsi="Times New Roman"/>
                <w:sz w:val="17"/>
              </w:rPr>
              <w:t xml:space="preserve">pcos</w:t>
            </w:r>
          </w:p>
        </w:tc>
        <w:tc>
          <w:tcPr>
            <w:tcW w:type="dxa" w:w="1030"/>
          </w:tcPr>
          <w:p>
            <w:pPr>
              <w:pStyle w:val="Compact"/>
              <w:jc w:val="right"/>
            </w:pPr>
            <w:r>
              <w:rPr>
                <w:rFonts w:ascii="Times New Roman" w:hAnsi="Times New Roman"/>
                <w:sz w:val="17"/>
              </w:rPr>
              <w:t xml:space="preserve">5</w:t>
            </w:r>
          </w:p>
        </w:tc>
        <w:tc>
          <w:tcPr>
            <w:tcW w:type="dxa" w:w="1030"/>
          </w:tcPr>
          <w:p>
            <w:pPr>
              <w:pStyle w:val="Compact"/>
              <w:jc w:val="right"/>
            </w:pPr>
            <w:r>
              <w:rPr>
                <w:rFonts w:ascii="Times New Roman" w:hAnsi="Times New Roman"/>
                <w:sz w:val="17"/>
              </w:rPr>
              <w:t xml:space="preserve">5</w:t>
            </w:r>
          </w:p>
        </w:tc>
        <w:tc>
          <w:tcPr>
            <w:tcW w:type="dxa" w:w="1030"/>
          </w:tcPr>
          <w:p>
            <w:pPr>
              <w:pStyle w:val="Compact"/>
              <w:jc w:val="right"/>
            </w:pPr>
            <w:r>
              <w:rPr>
                <w:rFonts w:ascii="Times New Roman" w:hAnsi="Times New Roman"/>
                <w:sz w:val="17"/>
              </w:rPr>
              <w:t xml:space="preserve">17439</w:t>
            </w:r>
          </w:p>
        </w:tc>
        <w:tc>
          <w:tcPr>
            <w:tcW w:type="dxa" w:w="1363"/>
          </w:tcPr>
          <w:p>
            <w:pPr>
              <w:pStyle w:val="Compact"/>
              <w:jc w:val="left"/>
            </w:pPr>
            <w:r>
              <w:rPr>
                <w:rFonts w:ascii="Times New Roman" w:hAnsi="Times New Roman"/>
                <w:sz w:val="17"/>
              </w:rPr>
              <w:t xml:space="preserve">ovarian granulosa cells</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GSE204835</w:t>
            </w:r>
          </w:p>
        </w:tc>
        <w:tc>
          <w:tcPr>
            <w:tcW w:type="dxa" w:w="1938"/>
          </w:tcPr>
          <w:p>
            <w:pPr>
              <w:pStyle w:val="Compact"/>
              <w:jc w:val="left"/>
            </w:pPr>
            <w:r>
              <w:rPr>
                <w:rFonts w:ascii="Times New Roman" w:hAnsi="Times New Roman"/>
                <w:sz w:val="17"/>
              </w:rPr>
              <w:t xml:space="preserve">preeclampsia</w:t>
            </w:r>
          </w:p>
        </w:tc>
        <w:tc>
          <w:tcPr>
            <w:tcW w:type="dxa" w:w="1030"/>
          </w:tcPr>
          <w:p>
            <w:pPr>
              <w:pStyle w:val="Compact"/>
              <w:jc w:val="right"/>
            </w:pPr>
            <w:r>
              <w:rPr>
                <w:rFonts w:ascii="Times New Roman" w:hAnsi="Times New Roman"/>
                <w:sz w:val="17"/>
              </w:rPr>
              <w:t xml:space="preserve">16</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16247</w:t>
            </w:r>
          </w:p>
        </w:tc>
        <w:tc>
          <w:tcPr>
            <w:tcW w:type="dxa" w:w="1363"/>
          </w:tcPr>
          <w:p>
            <w:pPr>
              <w:pStyle w:val="Compact"/>
              <w:jc w:val="left"/>
            </w:pPr>
            <w:r>
              <w:rPr>
                <w:rFonts w:ascii="Times New Roman" w:hAnsi="Times New Roman"/>
                <w:sz w:val="17"/>
              </w:rPr>
              <w:t xml:space="preserve">placenta (paraffin-embedded)</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GSE296973</w:t>
            </w:r>
          </w:p>
        </w:tc>
        <w:tc>
          <w:tcPr>
            <w:tcW w:type="dxa" w:w="1938"/>
          </w:tcPr>
          <w:p>
            <w:pPr>
              <w:pStyle w:val="Compact"/>
              <w:jc w:val="left"/>
            </w:pPr>
            <w:r>
              <w:rPr>
                <w:rFonts w:ascii="Times New Roman" w:hAnsi="Times New Roman"/>
                <w:sz w:val="17"/>
              </w:rPr>
              <w:t xml:space="preserve">preeclampsia</w:t>
            </w:r>
          </w:p>
        </w:tc>
        <w:tc>
          <w:tcPr>
            <w:tcW w:type="dxa" w:w="1030"/>
          </w:tcPr>
          <w:p>
            <w:pPr>
              <w:pStyle w:val="Compact"/>
              <w:jc w:val="right"/>
            </w:pPr>
            <w:r>
              <w:rPr>
                <w:rFonts w:ascii="Times New Roman" w:hAnsi="Times New Roman"/>
                <w:sz w:val="17"/>
              </w:rPr>
              <w:t xml:space="preserve">10</w:t>
            </w:r>
          </w:p>
        </w:tc>
        <w:tc>
          <w:tcPr>
            <w:tcW w:type="dxa" w:w="1030"/>
          </w:tcPr>
          <w:p>
            <w:pPr>
              <w:pStyle w:val="Compact"/>
              <w:jc w:val="right"/>
            </w:pPr>
            <w:r>
              <w:rPr>
                <w:rFonts w:ascii="Times New Roman" w:hAnsi="Times New Roman"/>
                <w:sz w:val="17"/>
              </w:rPr>
              <w:t xml:space="preserve">10</w:t>
            </w:r>
          </w:p>
        </w:tc>
        <w:tc>
          <w:tcPr>
            <w:tcW w:type="dxa" w:w="1030"/>
          </w:tcPr>
          <w:p>
            <w:pPr>
              <w:pStyle w:val="Compact"/>
              <w:jc w:val="right"/>
            </w:pPr>
            <w:r>
              <w:rPr>
                <w:rFonts w:ascii="Times New Roman" w:hAnsi="Times New Roman"/>
                <w:sz w:val="17"/>
              </w:rPr>
              <w:t xml:space="preserve">33326</w:t>
            </w:r>
          </w:p>
        </w:tc>
        <w:tc>
          <w:tcPr>
            <w:tcW w:type="dxa" w:w="1363"/>
          </w:tcPr>
          <w:p>
            <w:pPr>
              <w:pStyle w:val="Compact"/>
              <w:jc w:val="left"/>
            </w:pPr>
            <w:r>
              <w:rPr>
                <w:rFonts w:ascii="Times New Roman" w:hAnsi="Times New Roman"/>
                <w:sz w:val="17"/>
              </w:rPr>
              <w:t xml:space="preserve">peripheral blood</w:t>
            </w:r>
          </w:p>
        </w:tc>
        <w:tc>
          <w:tcPr>
            <w:tcW w:type="dxa" w:w="1136"/>
          </w:tcPr>
          <w:p>
            <w:pPr>
              <w:pStyle w:val="Compact"/>
              <w:jc w:val="left"/>
            </w:pPr>
            <w:r>
              <w:rPr>
                <w:rFonts w:ascii="Times New Roman" w:hAnsi="Times New Roman"/>
                <w:sz w:val="17"/>
              </w:rPr>
              <w:t xml:space="preserve">FPKM</w:t>
            </w:r>
          </w:p>
        </w:tc>
      </w:tr>
      <w:tr>
        <w:tc>
          <w:tcPr>
            <w:tcW w:type="dxa" w:w="1848"/>
          </w:tcPr>
          <w:p>
            <w:pPr>
              <w:pStyle w:val="Compact"/>
              <w:jc w:val="left"/>
            </w:pPr>
            <w:r>
              <w:rPr>
                <w:rFonts w:ascii="Times New Roman" w:hAnsi="Times New Roman"/>
                <w:sz w:val="17"/>
              </w:rPr>
              <w:t xml:space="preserve">GSE303840</w:t>
            </w:r>
          </w:p>
        </w:tc>
        <w:tc>
          <w:tcPr>
            <w:tcW w:type="dxa" w:w="1938"/>
          </w:tcPr>
          <w:p>
            <w:pPr>
              <w:pStyle w:val="Compact"/>
              <w:jc w:val="left"/>
            </w:pPr>
            <w:r>
              <w:rPr>
                <w:rFonts w:ascii="Times New Roman" w:hAnsi="Times New Roman"/>
                <w:sz w:val="17"/>
              </w:rPr>
              <w:t xml:space="preserve">preeclampsia</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16264</w:t>
            </w:r>
          </w:p>
        </w:tc>
        <w:tc>
          <w:tcPr>
            <w:tcW w:type="dxa" w:w="1363"/>
          </w:tcPr>
          <w:p>
            <w:pPr>
              <w:pStyle w:val="Compact"/>
              <w:jc w:val="left"/>
            </w:pPr>
            <w:r>
              <w:rPr>
                <w:rFonts w:ascii="Times New Roman" w:hAnsi="Times New Roman"/>
                <w:sz w:val="17"/>
              </w:rPr>
              <w:t xml:space="preserve">placenta</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GSE306864</w:t>
            </w:r>
          </w:p>
        </w:tc>
        <w:tc>
          <w:tcPr>
            <w:tcW w:type="dxa" w:w="1938"/>
          </w:tcPr>
          <w:p>
            <w:pPr>
              <w:pStyle w:val="Compact"/>
              <w:jc w:val="left"/>
            </w:pPr>
            <w:r>
              <w:rPr>
                <w:rFonts w:ascii="Times New Roman" w:hAnsi="Times New Roman"/>
                <w:sz w:val="17"/>
              </w:rPr>
              <w:t xml:space="preserve">preeclampsia</w:t>
            </w:r>
          </w:p>
        </w:tc>
        <w:tc>
          <w:tcPr>
            <w:tcW w:type="dxa" w:w="1030"/>
          </w:tcPr>
          <w:p>
            <w:pPr>
              <w:pStyle w:val="Compact"/>
              <w:jc w:val="right"/>
            </w:pPr>
            <w:r>
              <w:rPr>
                <w:rFonts w:ascii="Times New Roman" w:hAnsi="Times New Roman"/>
                <w:sz w:val="17"/>
              </w:rPr>
              <w:t xml:space="preserve">13</w:t>
            </w:r>
          </w:p>
        </w:tc>
        <w:tc>
          <w:tcPr>
            <w:tcW w:type="dxa" w:w="1030"/>
          </w:tcPr>
          <w:p>
            <w:pPr>
              <w:pStyle w:val="Compact"/>
              <w:jc w:val="right"/>
            </w:pPr>
            <w:r>
              <w:rPr>
                <w:rFonts w:ascii="Times New Roman" w:hAnsi="Times New Roman"/>
                <w:sz w:val="17"/>
              </w:rPr>
              <w:t xml:space="preserve">45</w:t>
            </w:r>
          </w:p>
        </w:tc>
        <w:tc>
          <w:tcPr>
            <w:tcW w:type="dxa" w:w="1030"/>
          </w:tcPr>
          <w:p>
            <w:pPr>
              <w:pStyle w:val="Compact"/>
              <w:jc w:val="right"/>
            </w:pPr>
            <w:r>
              <w:rPr>
                <w:rFonts w:ascii="Times New Roman" w:hAnsi="Times New Roman"/>
                <w:sz w:val="17"/>
              </w:rPr>
              <w:t xml:space="preserve">15118</w:t>
            </w:r>
          </w:p>
        </w:tc>
        <w:tc>
          <w:tcPr>
            <w:tcW w:type="dxa" w:w="1363"/>
          </w:tcPr>
          <w:p>
            <w:pPr>
              <w:pStyle w:val="Compact"/>
              <w:jc w:val="left"/>
            </w:pPr>
            <w:r>
              <w:rPr>
                <w:rFonts w:ascii="Times New Roman" w:hAnsi="Times New Roman"/>
                <w:sz w:val="17"/>
              </w:rPr>
              <w:t xml:space="preserve">chorionic villus</w:t>
            </w:r>
          </w:p>
        </w:tc>
        <w:tc>
          <w:tcPr>
            <w:tcW w:type="dxa" w:w="1136"/>
          </w:tcPr>
          <w:p>
            <w:pPr>
              <w:pStyle w:val="Compact"/>
              <w:jc w:val="left"/>
            </w:pPr>
            <w:r>
              <w:rPr>
                <w:rFonts w:ascii="Times New Roman" w:hAnsi="Times New Roman"/>
                <w:sz w:val="17"/>
              </w:rPr>
              <w:t xml:space="preserve">counts</w:t>
            </w:r>
          </w:p>
        </w:tc>
      </w:tr>
      <w:tr>
        <w:tc>
          <w:tcPr>
            <w:tcW w:type="dxa" w:w="1848"/>
          </w:tcPr>
          <w:p>
            <w:pPr>
              <w:pStyle w:val="Compact"/>
              <w:jc w:val="left"/>
            </w:pPr>
            <w:r>
              <w:rPr>
                <w:rFonts w:ascii="Times New Roman" w:hAnsi="Times New Roman"/>
                <w:sz w:val="17"/>
              </w:rPr>
              <w:t xml:space="preserve">GSE193123</w:t>
            </w:r>
          </w:p>
        </w:tc>
        <w:tc>
          <w:tcPr>
            <w:tcW w:type="dxa" w:w="1938"/>
          </w:tcPr>
          <w:p>
            <w:pPr>
              <w:pStyle w:val="Compact"/>
              <w:jc w:val="left"/>
            </w:pPr>
            <w:r>
              <w:rPr>
                <w:rFonts w:ascii="Times New Roman" w:hAnsi="Times New Roman"/>
                <w:sz w:val="17"/>
              </w:rPr>
              <w:t xml:space="preserve">pcos</w:t>
            </w:r>
          </w:p>
        </w:tc>
        <w:tc>
          <w:tcPr>
            <w:tcW w:type="dxa" w:w="1030"/>
          </w:tcPr>
          <w:p>
            <w:pPr>
              <w:pStyle w:val="Compact"/>
              <w:jc w:val="right"/>
            </w:pPr>
            <w:r>
              <w:rPr>
                <w:rFonts w:ascii="Times New Roman" w:hAnsi="Times New Roman"/>
                <w:sz w:val="17"/>
              </w:rPr>
              <w:t xml:space="preserve">3</w:t>
            </w:r>
          </w:p>
        </w:tc>
        <w:tc>
          <w:tcPr>
            <w:tcW w:type="dxa" w:w="1030"/>
          </w:tcPr>
          <w:p>
            <w:pPr>
              <w:pStyle w:val="Compact"/>
              <w:jc w:val="right"/>
            </w:pPr>
            <w:r>
              <w:rPr>
                <w:rFonts w:ascii="Times New Roman" w:hAnsi="Times New Roman"/>
                <w:sz w:val="17"/>
              </w:rPr>
              <w:t xml:space="preserve">3</w:t>
            </w:r>
          </w:p>
        </w:tc>
        <w:tc>
          <w:tcPr>
            <w:tcW w:type="dxa" w:w="1030"/>
          </w:tcPr>
          <w:p>
            <w:pPr>
              <w:pStyle w:val="Compact"/>
              <w:jc w:val="right"/>
            </w:pPr>
            <w:r>
              <w:rPr>
                <w:rFonts w:ascii="Times New Roman" w:hAnsi="Times New Roman"/>
                <w:sz w:val="17"/>
              </w:rPr>
              <w:t xml:space="preserve">16137</w:t>
            </w:r>
          </w:p>
        </w:tc>
        <w:tc>
          <w:tcPr>
            <w:tcW w:type="dxa" w:w="1363"/>
          </w:tcPr>
          <w:p>
            <w:pPr>
              <w:pStyle w:val="Compact"/>
              <w:jc w:val="left"/>
            </w:pPr>
            <w:r>
              <w:rPr>
                <w:rFonts w:ascii="Times New Roman" w:hAnsi="Times New Roman"/>
                <w:sz w:val="17"/>
              </w:rPr>
              <w:t xml:space="preserve">ovarian granulosa cells pooled libraries</w:t>
            </w:r>
          </w:p>
        </w:tc>
        <w:tc>
          <w:tcPr>
            <w:tcW w:type="dxa" w:w="1136"/>
          </w:tcPr>
          <w:p>
            <w:pPr>
              <w:pStyle w:val="Compact"/>
              <w:jc w:val="left"/>
            </w:pPr>
            <w:r>
              <w:rPr>
                <w:rFonts w:ascii="Times New Roman" w:hAnsi="Times New Roman"/>
                <w:sz w:val="17"/>
              </w:rPr>
              <w:t xml:space="preserve">counts</w:t>
            </w:r>
          </w:p>
        </w:tc>
      </w:tr>
    </w:tbl>
    <w:bookmarkEnd w:id="155"/>
    <w:p>
      <w:pPr>
        <w:pStyle w:val="Heading2"/>
      </w:pPr>
      <w:bookmarkStart w:id="156" w:name="all-graph-ranking-comparisons"/>
      <w:r>
        <w:rPr>
          <w:rFonts w:ascii="Times New Roman" w:hAnsi="Times New Roman"/>
        </w:rPr>
        <w:t xml:space="preserve">All graph-ranking comparisons</w:t>
      </w:r>
      <w:bookmarkEnd w:id="156"/>
    </w:p>
    <w:p>
      <w:pPr>
        <w:pStyle w:val="FirstParagraph"/>
      </w:pPr>
      <w:r>
        <w:rPr>
          <w:rFonts w:ascii="Times New Roman" w:hAnsi="Times New Roman"/>
        </w:rPr>
        <w:t xml:space="preserve">Table </w:t>
      </w:r>
      <w:hyperlink w:anchor="tab:gene">
        <w:r>
          <w:rPr>
            <w:rStyle w:val="Hyperlink"/>
          </w:rPr>
          <w:t xml:space="preserve">2</w:t>
        </w:r>
      </w:hyperlink>
      <w:r>
        <w:rPr>
          <w:rFonts w:ascii="Times New Roman" w:hAnsi="Times New Roman"/>
        </w:rPr>
        <w:t xml:space="preserve"> </w:t>
      </w:r>
      <w:r>
        <w:rPr>
          <w:rFonts w:ascii="Times New Roman" w:hAnsi="Times New Roman"/>
        </w:rPr>
        <w:t xml:space="preserve">expands the compact plot into every disease and tested method. The gene-recovery labels are defined from the same ontology/evidence collection used to construct the project; although the held-out folds avoid a gene’s training label, they are not future clinical outcomes. Thus fold AUROC can evaluate the internal ranking task only. For postpartum depression, the mean GCN AUROC is 0.695 against 0.803 for random walk with restart; a strong generic graph baseline matters more than comparing against an unrelated published endpoint. For other diseases a small apparent GCN advantage over RWR is not a published benchmark break and should be evaluated under multiple seeds and an external label freeze before it is promoted. Rare positive labels mean AUPRC is also reported: AUROC alone hides precision limitations in a large candidate universe.</w:t>
      </w:r>
    </w:p>
    <w:bookmarkStart w:id="157" w:name="tab:gene"/>
    <w:p>
      <w:pPr>
        <w:pStyle w:val="TableCaption"/>
      </w:pPr>
      <w:r>
        <w:rPr>
          <w:rFonts w:ascii="Times New Roman" w:hAnsi="Times New Roman"/>
        </w:rPr>
        <w:t xml:space="preserve">Mean within-project held-out gene-recovery fold metrics. Positive labels derive from the selected Open Targets snapshot, not a temporally independent clinical endpoint. Methods and folds are given in the repository CSVs.</w:t>
      </w:r>
    </w:p>
    <w:tbl>
      <w:tblPr>
        <w:tblStyle w:val="Table"/>
        <w:tblW w:type="pct" w:w="0.0"/>
        <w:tblLayout w:type="fixed"/>
        <w:tblLook w:firstRow="1"/>
        <w:tblCaption w:val="Mean within-project held-out gene-recovery fold metrics. Positive labels derive from the selected Open Targets snapshot, not a temporally independent clinical endpoint. Methods and folds are given in the repository CSVs."/>
      </w:tblPr>
      <w:tblGrid>
        <w:gridCol w:w="2906"/>
        <w:gridCol w:w="2062"/>
        <w:gridCol w:w="1406"/>
        <w:gridCol w:w="1500"/>
        <w:gridCol w:w="1500"/>
      </w:tblGrid>
      <w:tr>
        <w:trPr>
          <w:cnfStyle w:firstRow="1"/>
        </w:trPr>
        <w:tc>
          <w:tcPr>
            <w:tcW w:type="dxa" w:w="2906"/>
            <w:tcBorders>
              <w:bottom w:val="single"/>
            </w:tcBorders>
            <w:vAlign w:val="bottom"/>
          </w:tcPr>
          <w:p>
            <w:pPr>
              <w:pStyle w:val="Compact"/>
              <w:jc w:val="left"/>
            </w:pPr>
            <w:r>
              <w:rPr>
                <w:rFonts w:ascii="Times New Roman" w:hAnsi="Times New Roman"/>
                <w:sz w:val="17"/>
              </w:rPr>
              <w:t xml:space="preserve">Disease</w:t>
            </w:r>
          </w:p>
        </w:tc>
        <w:tc>
          <w:tcPr>
            <w:tcW w:type="dxa" w:w="2062"/>
            <w:tcBorders>
              <w:bottom w:val="single"/>
            </w:tcBorders>
            <w:vAlign w:val="bottom"/>
          </w:tcPr>
          <w:p>
            <w:pPr>
              <w:pStyle w:val="Compact"/>
              <w:jc w:val="left"/>
            </w:pPr>
            <w:r>
              <w:rPr>
                <w:rFonts w:ascii="Times New Roman" w:hAnsi="Times New Roman"/>
                <w:sz w:val="17"/>
              </w:rPr>
              <w:t xml:space="preserve">Model</w:t>
            </w:r>
          </w:p>
        </w:tc>
        <w:tc>
          <w:tcPr>
            <w:tcW w:type="dxa" w:w="1406"/>
            <w:tcBorders>
              <w:bottom w:val="single"/>
            </w:tcBorders>
            <w:vAlign w:val="bottom"/>
          </w:tcPr>
          <w:p>
            <w:pPr>
              <w:pStyle w:val="Compact"/>
              <w:jc w:val="right"/>
            </w:pPr>
            <w:r>
              <w:rPr>
                <w:rFonts w:ascii="Times New Roman" w:hAnsi="Times New Roman"/>
                <w:sz w:val="17"/>
              </w:rPr>
              <w:t xml:space="preserve">Folds</w:t>
            </w:r>
          </w:p>
        </w:tc>
        <w:tc>
          <w:tcPr>
            <w:tcW w:type="dxa" w:w="1500"/>
            <w:tcBorders>
              <w:bottom w:val="single"/>
            </w:tcBorders>
            <w:vAlign w:val="bottom"/>
          </w:tcPr>
          <w:p>
            <w:pPr>
              <w:pStyle w:val="Compact"/>
              <w:jc w:val="right"/>
            </w:pPr>
            <w:r>
              <w:rPr>
                <w:rFonts w:ascii="Times New Roman" w:hAnsi="Times New Roman"/>
                <w:sz w:val="17"/>
              </w:rPr>
              <w:t xml:space="preserve">AUROC</w:t>
            </w:r>
          </w:p>
        </w:tc>
        <w:tc>
          <w:tcPr>
            <w:tcW w:type="dxa" w:w="1500"/>
            <w:tcBorders>
              <w:bottom w:val="single"/>
            </w:tcBorders>
            <w:vAlign w:val="bottom"/>
          </w:tcPr>
          <w:p>
            <w:pPr>
              <w:pStyle w:val="Compact"/>
              <w:jc w:val="right"/>
            </w:pPr>
            <w:r>
              <w:rPr>
                <w:rFonts w:ascii="Times New Roman" w:hAnsi="Times New Roman"/>
                <w:sz w:val="17"/>
              </w:rPr>
              <w:t xml:space="preserve">AUPRC</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0.761</w:t>
            </w:r>
          </w:p>
        </w:tc>
        <w:tc>
          <w:tcPr>
            <w:tcW w:type="dxa" w:w="1500"/>
          </w:tcPr>
          <w:p>
            <w:pPr>
              <w:pStyle w:val="Compact"/>
              <w:jc w:val="right"/>
            </w:pPr>
            <w:r>
              <w:rPr>
                <w:rFonts w:ascii="Times New Roman" w:hAnsi="Times New Roman"/>
                <w:sz w:val="17"/>
              </w:rPr>
              <w:t xml:space="preserve">0.073</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0.668</w:t>
            </w:r>
          </w:p>
        </w:tc>
        <w:tc>
          <w:tcPr>
            <w:tcW w:type="dxa" w:w="1500"/>
          </w:tcPr>
          <w:p>
            <w:pPr>
              <w:pStyle w:val="Compact"/>
              <w:jc w:val="right"/>
            </w:pPr>
            <w:r>
              <w:rPr>
                <w:rFonts w:ascii="Times New Roman" w:hAnsi="Times New Roman"/>
                <w:sz w:val="17"/>
              </w:rPr>
              <w:t xml:space="preserve">0.039</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0.509</w:t>
            </w:r>
          </w:p>
        </w:tc>
        <w:tc>
          <w:tcPr>
            <w:tcW w:type="dxa" w:w="1500"/>
          </w:tcPr>
          <w:p>
            <w:pPr>
              <w:pStyle w:val="Compact"/>
              <w:jc w:val="right"/>
            </w:pPr>
            <w:r>
              <w:rPr>
                <w:rFonts w:ascii="Times New Roman" w:hAnsi="Times New Roman"/>
                <w:sz w:val="17"/>
              </w:rPr>
              <w:t xml:space="preserve">0.024</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0.653</w:t>
            </w:r>
          </w:p>
        </w:tc>
        <w:tc>
          <w:tcPr>
            <w:tcW w:type="dxa" w:w="1500"/>
          </w:tcPr>
          <w:p>
            <w:pPr>
              <w:pStyle w:val="Compact"/>
              <w:jc w:val="right"/>
            </w:pPr>
            <w:r>
              <w:rPr>
                <w:rFonts w:ascii="Times New Roman" w:hAnsi="Times New Roman"/>
                <w:sz w:val="17"/>
              </w:rPr>
              <w:t xml:space="preserve">0.038</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0.774</w:t>
            </w:r>
          </w:p>
        </w:tc>
        <w:tc>
          <w:tcPr>
            <w:tcW w:type="dxa" w:w="1500"/>
          </w:tcPr>
          <w:p>
            <w:pPr>
              <w:pStyle w:val="Compact"/>
              <w:jc w:val="right"/>
            </w:pPr>
            <w:r>
              <w:rPr>
                <w:rFonts w:ascii="Times New Roman" w:hAnsi="Times New Roman"/>
                <w:sz w:val="17"/>
              </w:rPr>
              <w:t xml:space="preserve">0.071</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0.733</w:t>
            </w:r>
          </w:p>
        </w:tc>
        <w:tc>
          <w:tcPr>
            <w:tcW w:type="dxa" w:w="1500"/>
          </w:tcPr>
          <w:p>
            <w:pPr>
              <w:pStyle w:val="Compact"/>
              <w:jc w:val="right"/>
            </w:pPr>
            <w:r>
              <w:rPr>
                <w:rFonts w:ascii="Times New Roman" w:hAnsi="Times New Roman"/>
                <w:sz w:val="17"/>
              </w:rPr>
              <w:t xml:space="preserve">0.064</w:t>
            </w:r>
          </w:p>
        </w:tc>
      </w:tr>
      <w:tr>
        <w:tc>
          <w:tcPr>
            <w:tcW w:type="dxa" w:w="2906"/>
          </w:tcPr>
          <w:p>
            <w:pPr>
              <w:pStyle w:val="Compact"/>
              <w:jc w:val="left"/>
            </w:pPr>
            <w:r>
              <w:rPr>
                <w:rFonts w:ascii="Times New Roman" w:hAnsi="Times New Roman"/>
                <w:sz w:val="17"/>
              </w:rPr>
              <w:t xml:space="preserve">chagas</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0.758</w:t>
            </w:r>
          </w:p>
        </w:tc>
        <w:tc>
          <w:tcPr>
            <w:tcW w:type="dxa" w:w="1500"/>
          </w:tcPr>
          <w:p>
            <w:pPr>
              <w:pStyle w:val="Compact"/>
              <w:jc w:val="right"/>
            </w:pPr>
            <w:r>
              <w:rPr>
                <w:rFonts w:ascii="Times New Roman" w:hAnsi="Times New Roman"/>
                <w:sz w:val="17"/>
              </w:rPr>
              <w:t xml:space="preserve">0.069</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0.777</w:t>
            </w:r>
          </w:p>
        </w:tc>
        <w:tc>
          <w:tcPr>
            <w:tcW w:type="dxa" w:w="1500"/>
          </w:tcPr>
          <w:p>
            <w:pPr>
              <w:pStyle w:val="Compact"/>
              <w:jc w:val="right"/>
            </w:pPr>
            <w:r>
              <w:rPr>
                <w:rFonts w:ascii="Times New Roman" w:hAnsi="Times New Roman"/>
                <w:sz w:val="17"/>
              </w:rPr>
              <w:t xml:space="preserve">0.293</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0.692</w:t>
            </w:r>
          </w:p>
        </w:tc>
        <w:tc>
          <w:tcPr>
            <w:tcW w:type="dxa" w:w="1500"/>
          </w:tcPr>
          <w:p>
            <w:pPr>
              <w:pStyle w:val="Compact"/>
              <w:jc w:val="right"/>
            </w:pPr>
            <w:r>
              <w:rPr>
                <w:rFonts w:ascii="Times New Roman" w:hAnsi="Times New Roman"/>
                <w:sz w:val="17"/>
              </w:rPr>
              <w:t xml:space="preserve">0.177</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0.481</w:t>
            </w:r>
          </w:p>
        </w:tc>
        <w:tc>
          <w:tcPr>
            <w:tcW w:type="dxa" w:w="1500"/>
          </w:tcPr>
          <w:p>
            <w:pPr>
              <w:pStyle w:val="Compact"/>
              <w:jc w:val="right"/>
            </w:pPr>
            <w:r>
              <w:rPr>
                <w:rFonts w:ascii="Times New Roman" w:hAnsi="Times New Roman"/>
                <w:sz w:val="17"/>
              </w:rPr>
              <w:t xml:space="preserve">0.089</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0.698</w:t>
            </w:r>
          </w:p>
        </w:tc>
        <w:tc>
          <w:tcPr>
            <w:tcW w:type="dxa" w:w="1500"/>
          </w:tcPr>
          <w:p>
            <w:pPr>
              <w:pStyle w:val="Compact"/>
              <w:jc w:val="right"/>
            </w:pPr>
            <w:r>
              <w:rPr>
                <w:rFonts w:ascii="Times New Roman" w:hAnsi="Times New Roman"/>
                <w:sz w:val="17"/>
              </w:rPr>
              <w:t xml:space="preserve">0.181</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0.774</w:t>
            </w:r>
          </w:p>
        </w:tc>
        <w:tc>
          <w:tcPr>
            <w:tcW w:type="dxa" w:w="1500"/>
          </w:tcPr>
          <w:p>
            <w:pPr>
              <w:pStyle w:val="Compact"/>
              <w:jc w:val="right"/>
            </w:pPr>
            <w:r>
              <w:rPr>
                <w:rFonts w:ascii="Times New Roman" w:hAnsi="Times New Roman"/>
                <w:sz w:val="17"/>
              </w:rPr>
              <w:t xml:space="preserve">0.321</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0.779</w:t>
            </w:r>
          </w:p>
        </w:tc>
        <w:tc>
          <w:tcPr>
            <w:tcW w:type="dxa" w:w="1500"/>
          </w:tcPr>
          <w:p>
            <w:pPr>
              <w:pStyle w:val="Compact"/>
              <w:jc w:val="right"/>
            </w:pPr>
            <w:r>
              <w:rPr>
                <w:rFonts w:ascii="Times New Roman" w:hAnsi="Times New Roman"/>
                <w:sz w:val="17"/>
              </w:rPr>
              <w:t xml:space="preserve">0.295</w:t>
            </w:r>
          </w:p>
        </w:tc>
      </w:tr>
      <w:tr>
        <w:tc>
          <w:tcPr>
            <w:tcW w:type="dxa" w:w="2906"/>
          </w:tcPr>
          <w:p>
            <w:pPr>
              <w:pStyle w:val="Compact"/>
              <w:jc w:val="left"/>
            </w:pPr>
            <w:r>
              <w:rPr>
                <w:rFonts w:ascii="Times New Roman" w:hAnsi="Times New Roman"/>
                <w:sz w:val="17"/>
              </w:rPr>
              <w:t xml:space="preserve">endometriosis</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0.768</w:t>
            </w:r>
          </w:p>
        </w:tc>
        <w:tc>
          <w:tcPr>
            <w:tcW w:type="dxa" w:w="1500"/>
          </w:tcPr>
          <w:p>
            <w:pPr>
              <w:pStyle w:val="Compact"/>
              <w:jc w:val="right"/>
            </w:pPr>
            <w:r>
              <w:rPr>
                <w:rFonts w:ascii="Times New Roman" w:hAnsi="Times New Roman"/>
                <w:sz w:val="17"/>
              </w:rPr>
              <w:t xml:space="preserve">0.303</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0.790</w:t>
            </w:r>
          </w:p>
        </w:tc>
        <w:tc>
          <w:tcPr>
            <w:tcW w:type="dxa" w:w="1500"/>
          </w:tcPr>
          <w:p>
            <w:pPr>
              <w:pStyle w:val="Compact"/>
              <w:jc w:val="right"/>
            </w:pPr>
            <w:r>
              <w:rPr>
                <w:rFonts w:ascii="Times New Roman" w:hAnsi="Times New Roman"/>
                <w:sz w:val="17"/>
              </w:rPr>
              <w:t xml:space="preserve">0.069</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0.708</w:t>
            </w:r>
          </w:p>
        </w:tc>
        <w:tc>
          <w:tcPr>
            <w:tcW w:type="dxa" w:w="1500"/>
          </w:tcPr>
          <w:p>
            <w:pPr>
              <w:pStyle w:val="Compact"/>
              <w:jc w:val="right"/>
            </w:pPr>
            <w:r>
              <w:rPr>
                <w:rFonts w:ascii="Times New Roman" w:hAnsi="Times New Roman"/>
                <w:sz w:val="17"/>
              </w:rPr>
              <w:t xml:space="preserve">0.041</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0.530</w:t>
            </w:r>
          </w:p>
        </w:tc>
        <w:tc>
          <w:tcPr>
            <w:tcW w:type="dxa" w:w="1500"/>
          </w:tcPr>
          <w:p>
            <w:pPr>
              <w:pStyle w:val="Compact"/>
              <w:jc w:val="right"/>
            </w:pPr>
            <w:r>
              <w:rPr>
                <w:rFonts w:ascii="Times New Roman" w:hAnsi="Times New Roman"/>
                <w:sz w:val="17"/>
              </w:rPr>
              <w:t xml:space="preserve">0.028</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0.699</w:t>
            </w:r>
          </w:p>
        </w:tc>
        <w:tc>
          <w:tcPr>
            <w:tcW w:type="dxa" w:w="1500"/>
          </w:tcPr>
          <w:p>
            <w:pPr>
              <w:pStyle w:val="Compact"/>
              <w:jc w:val="right"/>
            </w:pPr>
            <w:r>
              <w:rPr>
                <w:rFonts w:ascii="Times New Roman" w:hAnsi="Times New Roman"/>
                <w:sz w:val="17"/>
              </w:rPr>
              <w:t xml:space="preserve">0.032</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0.850</w:t>
            </w:r>
          </w:p>
        </w:tc>
        <w:tc>
          <w:tcPr>
            <w:tcW w:type="dxa" w:w="1500"/>
          </w:tcPr>
          <w:p>
            <w:pPr>
              <w:pStyle w:val="Compact"/>
              <w:jc w:val="right"/>
            </w:pPr>
            <w:r>
              <w:rPr>
                <w:rFonts w:ascii="Times New Roman" w:hAnsi="Times New Roman"/>
                <w:sz w:val="17"/>
              </w:rPr>
              <w:t xml:space="preserve">0.126</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0.788</w:t>
            </w:r>
          </w:p>
        </w:tc>
        <w:tc>
          <w:tcPr>
            <w:tcW w:type="dxa" w:w="1500"/>
          </w:tcPr>
          <w:p>
            <w:pPr>
              <w:pStyle w:val="Compact"/>
              <w:jc w:val="right"/>
            </w:pPr>
            <w:r>
              <w:rPr>
                <w:rFonts w:ascii="Times New Roman" w:hAnsi="Times New Roman"/>
                <w:sz w:val="17"/>
              </w:rPr>
              <w:t xml:space="preserve">0.056</w:t>
            </w:r>
          </w:p>
        </w:tc>
      </w:tr>
      <w:tr>
        <w:tc>
          <w:tcPr>
            <w:tcW w:type="dxa" w:w="2906"/>
          </w:tcPr>
          <w:p>
            <w:pPr>
              <w:pStyle w:val="Compact"/>
              <w:jc w:val="left"/>
            </w:pPr>
            <w:r>
              <w:rPr>
                <w:rFonts w:ascii="Times New Roman" w:hAnsi="Times New Roman"/>
                <w:sz w:val="17"/>
              </w:rPr>
              <w:t xml:space="preserve">fibromyalgia</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0.840</w:t>
            </w:r>
          </w:p>
        </w:tc>
        <w:tc>
          <w:tcPr>
            <w:tcW w:type="dxa" w:w="1500"/>
          </w:tcPr>
          <w:p>
            <w:pPr>
              <w:pStyle w:val="Compact"/>
              <w:jc w:val="right"/>
            </w:pPr>
            <w:r>
              <w:rPr>
                <w:rFonts w:ascii="Times New Roman" w:hAnsi="Times New Roman"/>
                <w:sz w:val="17"/>
              </w:rPr>
              <w:t xml:space="preserve">0.110</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0.720</w:t>
            </w:r>
          </w:p>
        </w:tc>
        <w:tc>
          <w:tcPr>
            <w:tcW w:type="dxa" w:w="1500"/>
          </w:tcPr>
          <w:p>
            <w:pPr>
              <w:pStyle w:val="Compact"/>
              <w:jc w:val="right"/>
            </w:pPr>
            <w:r>
              <w:rPr>
                <w:rFonts w:ascii="Times New Roman" w:hAnsi="Times New Roman"/>
                <w:sz w:val="17"/>
              </w:rPr>
              <w:t xml:space="preserve">0.048</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0.624</w:t>
            </w:r>
          </w:p>
        </w:tc>
        <w:tc>
          <w:tcPr>
            <w:tcW w:type="dxa" w:w="1500"/>
          </w:tcPr>
          <w:p>
            <w:pPr>
              <w:pStyle w:val="Compact"/>
              <w:jc w:val="right"/>
            </w:pPr>
            <w:r>
              <w:rPr>
                <w:rFonts w:ascii="Times New Roman" w:hAnsi="Times New Roman"/>
                <w:sz w:val="17"/>
              </w:rPr>
              <w:t xml:space="preserve">0.024</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0.485</w:t>
            </w:r>
          </w:p>
        </w:tc>
        <w:tc>
          <w:tcPr>
            <w:tcW w:type="dxa" w:w="1500"/>
          </w:tcPr>
          <w:p>
            <w:pPr>
              <w:pStyle w:val="Compact"/>
              <w:jc w:val="right"/>
            </w:pPr>
            <w:r>
              <w:rPr>
                <w:rFonts w:ascii="Times New Roman" w:hAnsi="Times New Roman"/>
                <w:sz w:val="17"/>
              </w:rPr>
              <w:t xml:space="preserve">0.015</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0.629</w:t>
            </w:r>
          </w:p>
        </w:tc>
        <w:tc>
          <w:tcPr>
            <w:tcW w:type="dxa" w:w="1500"/>
          </w:tcPr>
          <w:p>
            <w:pPr>
              <w:pStyle w:val="Compact"/>
              <w:jc w:val="right"/>
            </w:pPr>
            <w:r>
              <w:rPr>
                <w:rFonts w:ascii="Times New Roman" w:hAnsi="Times New Roman"/>
                <w:sz w:val="17"/>
              </w:rPr>
              <w:t xml:space="preserve">0.031</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0.710</w:t>
            </w:r>
          </w:p>
        </w:tc>
        <w:tc>
          <w:tcPr>
            <w:tcW w:type="dxa" w:w="1500"/>
          </w:tcPr>
          <w:p>
            <w:pPr>
              <w:pStyle w:val="Compact"/>
              <w:jc w:val="right"/>
            </w:pPr>
            <w:r>
              <w:rPr>
                <w:rFonts w:ascii="Times New Roman" w:hAnsi="Times New Roman"/>
                <w:sz w:val="17"/>
              </w:rPr>
              <w:t xml:space="preserve">0.061</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0.678</w:t>
            </w:r>
          </w:p>
        </w:tc>
        <w:tc>
          <w:tcPr>
            <w:tcW w:type="dxa" w:w="1500"/>
          </w:tcPr>
          <w:p>
            <w:pPr>
              <w:pStyle w:val="Compact"/>
              <w:jc w:val="right"/>
            </w:pPr>
            <w:r>
              <w:rPr>
                <w:rFonts w:ascii="Times New Roman" w:hAnsi="Times New Roman"/>
                <w:sz w:val="17"/>
              </w:rPr>
              <w:t xml:space="preserve">0.051</w:t>
            </w:r>
          </w:p>
        </w:tc>
      </w:tr>
      <w:tr>
        <w:tc>
          <w:tcPr>
            <w:tcW w:type="dxa" w:w="2906"/>
          </w:tcPr>
          <w:p>
            <w:pPr>
              <w:pStyle w:val="Compact"/>
              <w:jc w:val="left"/>
            </w:pPr>
            <w:r>
              <w:rPr>
                <w:rFonts w:ascii="Times New Roman" w:hAnsi="Times New Roman"/>
                <w:sz w:val="17"/>
              </w:rPr>
              <w:t xml:space="preserve">interstitial_cystitis</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0.708</w:t>
            </w:r>
          </w:p>
        </w:tc>
        <w:tc>
          <w:tcPr>
            <w:tcW w:type="dxa" w:w="1500"/>
          </w:tcPr>
          <w:p>
            <w:pPr>
              <w:pStyle w:val="Compact"/>
              <w:jc w:val="right"/>
            </w:pPr>
            <w:r>
              <w:rPr>
                <w:rFonts w:ascii="Times New Roman" w:hAnsi="Times New Roman"/>
                <w:sz w:val="17"/>
              </w:rPr>
              <w:t xml:space="preserve">0.057</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0.763</w:t>
            </w:r>
          </w:p>
        </w:tc>
        <w:tc>
          <w:tcPr>
            <w:tcW w:type="dxa" w:w="1500"/>
          </w:tcPr>
          <w:p>
            <w:pPr>
              <w:pStyle w:val="Compact"/>
              <w:jc w:val="right"/>
            </w:pPr>
            <w:r>
              <w:rPr>
                <w:rFonts w:ascii="Times New Roman" w:hAnsi="Times New Roman"/>
                <w:sz w:val="17"/>
              </w:rPr>
              <w:t xml:space="preserve">0.225</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0.717</w:t>
            </w:r>
          </w:p>
        </w:tc>
        <w:tc>
          <w:tcPr>
            <w:tcW w:type="dxa" w:w="1500"/>
          </w:tcPr>
          <w:p>
            <w:pPr>
              <w:pStyle w:val="Compact"/>
              <w:jc w:val="right"/>
            </w:pPr>
            <w:r>
              <w:rPr>
                <w:rFonts w:ascii="Times New Roman" w:hAnsi="Times New Roman"/>
                <w:sz w:val="17"/>
              </w:rPr>
              <w:t xml:space="preserve">0.133</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0.445</w:t>
            </w:r>
          </w:p>
        </w:tc>
        <w:tc>
          <w:tcPr>
            <w:tcW w:type="dxa" w:w="1500"/>
          </w:tcPr>
          <w:p>
            <w:pPr>
              <w:pStyle w:val="Compact"/>
              <w:jc w:val="right"/>
            </w:pPr>
            <w:r>
              <w:rPr>
                <w:rFonts w:ascii="Times New Roman" w:hAnsi="Times New Roman"/>
                <w:sz w:val="17"/>
              </w:rPr>
              <w:t xml:space="preserve">0.040</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0.718</w:t>
            </w:r>
          </w:p>
        </w:tc>
        <w:tc>
          <w:tcPr>
            <w:tcW w:type="dxa" w:w="1500"/>
          </w:tcPr>
          <w:p>
            <w:pPr>
              <w:pStyle w:val="Compact"/>
              <w:jc w:val="right"/>
            </w:pPr>
            <w:r>
              <w:rPr>
                <w:rFonts w:ascii="Times New Roman" w:hAnsi="Times New Roman"/>
                <w:sz w:val="17"/>
              </w:rPr>
              <w:t xml:space="preserve">0.143</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0.777</w:t>
            </w:r>
          </w:p>
        </w:tc>
        <w:tc>
          <w:tcPr>
            <w:tcW w:type="dxa" w:w="1500"/>
          </w:tcPr>
          <w:p>
            <w:pPr>
              <w:pStyle w:val="Compact"/>
              <w:jc w:val="right"/>
            </w:pPr>
            <w:r>
              <w:rPr>
                <w:rFonts w:ascii="Times New Roman" w:hAnsi="Times New Roman"/>
                <w:sz w:val="17"/>
              </w:rPr>
              <w:t xml:space="preserve">0.179</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0.765</w:t>
            </w:r>
          </w:p>
        </w:tc>
        <w:tc>
          <w:tcPr>
            <w:tcW w:type="dxa" w:w="1500"/>
          </w:tcPr>
          <w:p>
            <w:pPr>
              <w:pStyle w:val="Compact"/>
              <w:jc w:val="right"/>
            </w:pPr>
            <w:r>
              <w:rPr>
                <w:rFonts w:ascii="Times New Roman" w:hAnsi="Times New Roman"/>
                <w:sz w:val="17"/>
              </w:rPr>
              <w:t xml:space="preserve">0.213</w:t>
            </w:r>
          </w:p>
        </w:tc>
      </w:tr>
      <w:tr>
        <w:tc>
          <w:tcPr>
            <w:tcW w:type="dxa" w:w="2906"/>
          </w:tcPr>
          <w:p>
            <w:pPr>
              <w:pStyle w:val="Compact"/>
              <w:jc w:val="left"/>
            </w:pPr>
            <w:r>
              <w:rPr>
                <w:rFonts w:ascii="Times New Roman" w:hAnsi="Times New Roman"/>
                <w:sz w:val="17"/>
              </w:rPr>
              <w:t xml:space="preserve">leishmaniasis</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0.768</w:t>
            </w:r>
          </w:p>
        </w:tc>
        <w:tc>
          <w:tcPr>
            <w:tcW w:type="dxa" w:w="1500"/>
          </w:tcPr>
          <w:p>
            <w:pPr>
              <w:pStyle w:val="Compact"/>
              <w:jc w:val="right"/>
            </w:pPr>
            <w:r>
              <w:rPr>
                <w:rFonts w:ascii="Times New Roman" w:hAnsi="Times New Roman"/>
                <w:sz w:val="17"/>
              </w:rPr>
              <w:t xml:space="preserve">0.156</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0.765</w:t>
            </w:r>
          </w:p>
        </w:tc>
        <w:tc>
          <w:tcPr>
            <w:tcW w:type="dxa" w:w="1500"/>
          </w:tcPr>
          <w:p>
            <w:pPr>
              <w:pStyle w:val="Compact"/>
              <w:jc w:val="right"/>
            </w:pPr>
            <w:r>
              <w:rPr>
                <w:rFonts w:ascii="Times New Roman" w:hAnsi="Times New Roman"/>
                <w:sz w:val="17"/>
              </w:rPr>
              <w:t xml:space="preserve">0.126</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0.690</w:t>
            </w:r>
          </w:p>
        </w:tc>
        <w:tc>
          <w:tcPr>
            <w:tcW w:type="dxa" w:w="1500"/>
          </w:tcPr>
          <w:p>
            <w:pPr>
              <w:pStyle w:val="Compact"/>
              <w:jc w:val="right"/>
            </w:pPr>
            <w:r>
              <w:rPr>
                <w:rFonts w:ascii="Times New Roman" w:hAnsi="Times New Roman"/>
                <w:sz w:val="17"/>
              </w:rPr>
              <w:t xml:space="preserve">0.054</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0.485</w:t>
            </w:r>
          </w:p>
        </w:tc>
        <w:tc>
          <w:tcPr>
            <w:tcW w:type="dxa" w:w="1500"/>
          </w:tcPr>
          <w:p>
            <w:pPr>
              <w:pStyle w:val="Compact"/>
              <w:jc w:val="right"/>
            </w:pPr>
            <w:r>
              <w:rPr>
                <w:rFonts w:ascii="Times New Roman" w:hAnsi="Times New Roman"/>
                <w:sz w:val="17"/>
              </w:rPr>
              <w:t xml:space="preserve">0.029</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0.689</w:t>
            </w:r>
          </w:p>
        </w:tc>
        <w:tc>
          <w:tcPr>
            <w:tcW w:type="dxa" w:w="1500"/>
          </w:tcPr>
          <w:p>
            <w:pPr>
              <w:pStyle w:val="Compact"/>
              <w:jc w:val="right"/>
            </w:pPr>
            <w:r>
              <w:rPr>
                <w:rFonts w:ascii="Times New Roman" w:hAnsi="Times New Roman"/>
                <w:sz w:val="17"/>
              </w:rPr>
              <w:t xml:space="preserve">0.045</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0.806</w:t>
            </w:r>
          </w:p>
        </w:tc>
        <w:tc>
          <w:tcPr>
            <w:tcW w:type="dxa" w:w="1500"/>
          </w:tcPr>
          <w:p>
            <w:pPr>
              <w:pStyle w:val="Compact"/>
              <w:jc w:val="right"/>
            </w:pPr>
            <w:r>
              <w:rPr>
                <w:rFonts w:ascii="Times New Roman" w:hAnsi="Times New Roman"/>
                <w:sz w:val="17"/>
              </w:rPr>
              <w:t xml:space="preserve">0.142</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0.766</w:t>
            </w:r>
          </w:p>
        </w:tc>
        <w:tc>
          <w:tcPr>
            <w:tcW w:type="dxa" w:w="1500"/>
          </w:tcPr>
          <w:p>
            <w:pPr>
              <w:pStyle w:val="Compact"/>
              <w:jc w:val="right"/>
            </w:pPr>
            <w:r>
              <w:rPr>
                <w:rFonts w:ascii="Times New Roman" w:hAnsi="Times New Roman"/>
                <w:sz w:val="17"/>
              </w:rPr>
              <w:t xml:space="preserve">0.115</w:t>
            </w:r>
          </w:p>
        </w:tc>
      </w:tr>
      <w:tr>
        <w:tc>
          <w:tcPr>
            <w:tcW w:type="dxa" w:w="2906"/>
          </w:tcPr>
          <w:p>
            <w:pPr>
              <w:pStyle w:val="Compact"/>
              <w:jc w:val="left"/>
            </w:pPr>
            <w:r>
              <w:rPr>
                <w:rFonts w:ascii="Times New Roman" w:hAnsi="Times New Roman"/>
                <w:sz w:val="17"/>
              </w:rPr>
              <w:t xml:space="preserve">me_cfs</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0.793</w:t>
            </w:r>
          </w:p>
        </w:tc>
        <w:tc>
          <w:tcPr>
            <w:tcW w:type="dxa" w:w="1500"/>
          </w:tcPr>
          <w:p>
            <w:pPr>
              <w:pStyle w:val="Compact"/>
              <w:jc w:val="right"/>
            </w:pPr>
            <w:r>
              <w:rPr>
                <w:rFonts w:ascii="Times New Roman" w:hAnsi="Times New Roman"/>
                <w:sz w:val="17"/>
              </w:rPr>
              <w:t xml:space="preserve">0.128</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0.753</w:t>
            </w:r>
          </w:p>
        </w:tc>
        <w:tc>
          <w:tcPr>
            <w:tcW w:type="dxa" w:w="1500"/>
          </w:tcPr>
          <w:p>
            <w:pPr>
              <w:pStyle w:val="Compact"/>
              <w:jc w:val="right"/>
            </w:pPr>
            <w:r>
              <w:rPr>
                <w:rFonts w:ascii="Times New Roman" w:hAnsi="Times New Roman"/>
                <w:sz w:val="17"/>
              </w:rPr>
              <w:t xml:space="preserve">0.306</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0.665</w:t>
            </w:r>
          </w:p>
        </w:tc>
        <w:tc>
          <w:tcPr>
            <w:tcW w:type="dxa" w:w="1500"/>
          </w:tcPr>
          <w:p>
            <w:pPr>
              <w:pStyle w:val="Compact"/>
              <w:jc w:val="right"/>
            </w:pPr>
            <w:r>
              <w:rPr>
                <w:rFonts w:ascii="Times New Roman" w:hAnsi="Times New Roman"/>
                <w:sz w:val="17"/>
              </w:rPr>
              <w:t xml:space="preserve">0.181</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0.495</w:t>
            </w:r>
          </w:p>
        </w:tc>
        <w:tc>
          <w:tcPr>
            <w:tcW w:type="dxa" w:w="1500"/>
          </w:tcPr>
          <w:p>
            <w:pPr>
              <w:pStyle w:val="Compact"/>
              <w:jc w:val="right"/>
            </w:pPr>
            <w:r>
              <w:rPr>
                <w:rFonts w:ascii="Times New Roman" w:hAnsi="Times New Roman"/>
                <w:sz w:val="17"/>
              </w:rPr>
              <w:t xml:space="preserve">0.098</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0.670</w:t>
            </w:r>
          </w:p>
        </w:tc>
        <w:tc>
          <w:tcPr>
            <w:tcW w:type="dxa" w:w="1500"/>
          </w:tcPr>
          <w:p>
            <w:pPr>
              <w:pStyle w:val="Compact"/>
              <w:jc w:val="right"/>
            </w:pPr>
            <w:r>
              <w:rPr>
                <w:rFonts w:ascii="Times New Roman" w:hAnsi="Times New Roman"/>
                <w:sz w:val="17"/>
              </w:rPr>
              <w:t xml:space="preserve">0.185</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0.772</w:t>
            </w:r>
          </w:p>
        </w:tc>
        <w:tc>
          <w:tcPr>
            <w:tcW w:type="dxa" w:w="1500"/>
          </w:tcPr>
          <w:p>
            <w:pPr>
              <w:pStyle w:val="Compact"/>
              <w:jc w:val="right"/>
            </w:pPr>
            <w:r>
              <w:rPr>
                <w:rFonts w:ascii="Times New Roman" w:hAnsi="Times New Roman"/>
                <w:sz w:val="17"/>
              </w:rPr>
              <w:t xml:space="preserve">0.325</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0.745</w:t>
            </w:r>
          </w:p>
        </w:tc>
        <w:tc>
          <w:tcPr>
            <w:tcW w:type="dxa" w:w="1500"/>
          </w:tcPr>
          <w:p>
            <w:pPr>
              <w:pStyle w:val="Compact"/>
              <w:jc w:val="right"/>
            </w:pPr>
            <w:r>
              <w:rPr>
                <w:rFonts w:ascii="Times New Roman" w:hAnsi="Times New Roman"/>
                <w:sz w:val="17"/>
              </w:rPr>
              <w:t xml:space="preserve">0.304</w:t>
            </w:r>
          </w:p>
        </w:tc>
      </w:tr>
      <w:tr>
        <w:tc>
          <w:tcPr>
            <w:tcW w:type="dxa" w:w="2906"/>
          </w:tcPr>
          <w:p>
            <w:pPr>
              <w:pStyle w:val="Compact"/>
              <w:jc w:val="left"/>
            </w:pPr>
            <w:r>
              <w:rPr>
                <w:rFonts w:ascii="Times New Roman" w:hAnsi="Times New Roman"/>
                <w:sz w:val="17"/>
              </w:rPr>
              <w:t xml:space="preserve">pcos</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0.767</w:t>
            </w:r>
          </w:p>
        </w:tc>
        <w:tc>
          <w:tcPr>
            <w:tcW w:type="dxa" w:w="1500"/>
          </w:tcPr>
          <w:p>
            <w:pPr>
              <w:pStyle w:val="Compact"/>
              <w:jc w:val="right"/>
            </w:pPr>
            <w:r>
              <w:rPr>
                <w:rFonts w:ascii="Times New Roman" w:hAnsi="Times New Roman"/>
                <w:sz w:val="17"/>
              </w:rPr>
              <w:t xml:space="preserve">0.307</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0.695</w:t>
            </w:r>
          </w:p>
        </w:tc>
        <w:tc>
          <w:tcPr>
            <w:tcW w:type="dxa" w:w="1500"/>
          </w:tcPr>
          <w:p>
            <w:pPr>
              <w:pStyle w:val="Compact"/>
              <w:jc w:val="right"/>
            </w:pPr>
            <w:r>
              <w:rPr>
                <w:rFonts w:ascii="Times New Roman" w:hAnsi="Times New Roman"/>
                <w:sz w:val="17"/>
              </w:rPr>
              <w:t xml:space="preserve">0.006</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0.582</w:t>
            </w:r>
          </w:p>
        </w:tc>
        <w:tc>
          <w:tcPr>
            <w:tcW w:type="dxa" w:w="1500"/>
          </w:tcPr>
          <w:p>
            <w:pPr>
              <w:pStyle w:val="Compact"/>
              <w:jc w:val="right"/>
            </w:pPr>
            <w:r>
              <w:rPr>
                <w:rFonts w:ascii="Times New Roman" w:hAnsi="Times New Roman"/>
                <w:sz w:val="17"/>
              </w:rPr>
              <w:t xml:space="preserve">0.012</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0.561</w:t>
            </w:r>
          </w:p>
        </w:tc>
        <w:tc>
          <w:tcPr>
            <w:tcW w:type="dxa" w:w="1500"/>
          </w:tcPr>
          <w:p>
            <w:pPr>
              <w:pStyle w:val="Compact"/>
              <w:jc w:val="right"/>
            </w:pPr>
            <w:r>
              <w:rPr>
                <w:rFonts w:ascii="Times New Roman" w:hAnsi="Times New Roman"/>
                <w:sz w:val="17"/>
              </w:rPr>
              <w:t xml:space="preserve">0.003</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0.531</w:t>
            </w:r>
          </w:p>
        </w:tc>
        <w:tc>
          <w:tcPr>
            <w:tcW w:type="dxa" w:w="1500"/>
          </w:tcPr>
          <w:p>
            <w:pPr>
              <w:pStyle w:val="Compact"/>
              <w:jc w:val="right"/>
            </w:pPr>
            <w:r>
              <w:rPr>
                <w:rFonts w:ascii="Times New Roman" w:hAnsi="Times New Roman"/>
                <w:sz w:val="17"/>
              </w:rPr>
              <w:t xml:space="preserve">0.004</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0.803</w:t>
            </w:r>
          </w:p>
        </w:tc>
        <w:tc>
          <w:tcPr>
            <w:tcW w:type="dxa" w:w="1500"/>
          </w:tcPr>
          <w:p>
            <w:pPr>
              <w:pStyle w:val="Compact"/>
              <w:jc w:val="right"/>
            </w:pPr>
            <w:r>
              <w:rPr>
                <w:rFonts w:ascii="Times New Roman" w:hAnsi="Times New Roman"/>
                <w:sz w:val="17"/>
              </w:rPr>
              <w:t xml:space="preserve">0.028</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0.642</w:t>
            </w:r>
          </w:p>
        </w:tc>
        <w:tc>
          <w:tcPr>
            <w:tcW w:type="dxa" w:w="1500"/>
          </w:tcPr>
          <w:p>
            <w:pPr>
              <w:pStyle w:val="Compact"/>
              <w:jc w:val="right"/>
            </w:pPr>
            <w:r>
              <w:rPr>
                <w:rFonts w:ascii="Times New Roman" w:hAnsi="Times New Roman"/>
                <w:sz w:val="17"/>
              </w:rPr>
              <w:t xml:space="preserve">0.005</w:t>
            </w:r>
          </w:p>
        </w:tc>
      </w:tr>
      <w:tr>
        <w:tc>
          <w:tcPr>
            <w:tcW w:type="dxa" w:w="2906"/>
          </w:tcPr>
          <w:p>
            <w:pPr>
              <w:pStyle w:val="Compact"/>
              <w:jc w:val="left"/>
            </w:pPr>
            <w:r>
              <w:rPr>
                <w:rFonts w:ascii="Times New Roman" w:hAnsi="Times New Roman"/>
                <w:sz w:val="17"/>
              </w:rPr>
              <w:t xml:space="preserve">postpartum_depression</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0.775</w:t>
            </w:r>
          </w:p>
        </w:tc>
        <w:tc>
          <w:tcPr>
            <w:tcW w:type="dxa" w:w="1500"/>
          </w:tcPr>
          <w:p>
            <w:pPr>
              <w:pStyle w:val="Compact"/>
              <w:jc w:val="right"/>
            </w:pPr>
            <w:r>
              <w:rPr>
                <w:rFonts w:ascii="Times New Roman" w:hAnsi="Times New Roman"/>
                <w:sz w:val="17"/>
              </w:rPr>
              <w:t xml:space="preserve">0.025</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gcn</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0.691</w:t>
            </w:r>
          </w:p>
        </w:tc>
        <w:tc>
          <w:tcPr>
            <w:tcW w:type="dxa" w:w="1500"/>
          </w:tcPr>
          <w:p>
            <w:pPr>
              <w:pStyle w:val="Compact"/>
              <w:jc w:val="right"/>
            </w:pPr>
            <w:r>
              <w:rPr>
                <w:rFonts w:ascii="Times New Roman" w:hAnsi="Times New Roman"/>
                <w:sz w:val="17"/>
              </w:rPr>
              <w:t xml:space="preserve">0.279</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logreg</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0.612</w:t>
            </w:r>
          </w:p>
        </w:tc>
        <w:tc>
          <w:tcPr>
            <w:tcW w:type="dxa" w:w="1500"/>
          </w:tcPr>
          <w:p>
            <w:pPr>
              <w:pStyle w:val="Compact"/>
              <w:jc w:val="right"/>
            </w:pPr>
            <w:r>
              <w:rPr>
                <w:rFonts w:ascii="Times New Roman" w:hAnsi="Times New Roman"/>
                <w:sz w:val="17"/>
              </w:rPr>
              <w:t xml:space="preserve">0.189</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meta_abs_z</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0.527</w:t>
            </w:r>
          </w:p>
        </w:tc>
        <w:tc>
          <w:tcPr>
            <w:tcW w:type="dxa" w:w="1500"/>
          </w:tcPr>
          <w:p>
            <w:pPr>
              <w:pStyle w:val="Compact"/>
              <w:jc w:val="right"/>
            </w:pPr>
            <w:r>
              <w:rPr>
                <w:rFonts w:ascii="Times New Roman" w:hAnsi="Times New Roman"/>
                <w:sz w:val="17"/>
              </w:rPr>
              <w:t xml:space="preserve">0.155</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mlp</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0.618</w:t>
            </w:r>
          </w:p>
        </w:tc>
        <w:tc>
          <w:tcPr>
            <w:tcW w:type="dxa" w:w="1500"/>
          </w:tcPr>
          <w:p>
            <w:pPr>
              <w:pStyle w:val="Compact"/>
              <w:jc w:val="right"/>
            </w:pPr>
            <w:r>
              <w:rPr>
                <w:rFonts w:ascii="Times New Roman" w:hAnsi="Times New Roman"/>
                <w:sz w:val="17"/>
              </w:rPr>
              <w:t xml:space="preserve">0.195</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0.663</w:t>
            </w:r>
          </w:p>
        </w:tc>
        <w:tc>
          <w:tcPr>
            <w:tcW w:type="dxa" w:w="1500"/>
          </w:tcPr>
          <w:p>
            <w:pPr>
              <w:pStyle w:val="Compact"/>
              <w:jc w:val="right"/>
            </w:pPr>
            <w:r>
              <w:rPr>
                <w:rFonts w:ascii="Times New Roman" w:hAnsi="Times New Roman"/>
                <w:sz w:val="17"/>
              </w:rPr>
              <w:t xml:space="preserve">0.260</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sage</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0.687</w:t>
            </w:r>
          </w:p>
        </w:tc>
        <w:tc>
          <w:tcPr>
            <w:tcW w:type="dxa" w:w="1500"/>
          </w:tcPr>
          <w:p>
            <w:pPr>
              <w:pStyle w:val="Compact"/>
              <w:jc w:val="right"/>
            </w:pPr>
            <w:r>
              <w:rPr>
                <w:rFonts w:ascii="Times New Roman" w:hAnsi="Times New Roman"/>
                <w:sz w:val="17"/>
              </w:rPr>
              <w:t xml:space="preserve">0.268</w:t>
            </w:r>
          </w:p>
        </w:tc>
      </w:tr>
      <w:tr>
        <w:tc>
          <w:tcPr>
            <w:tcW w:type="dxa" w:w="2906"/>
          </w:tcPr>
          <w:p>
            <w:pPr>
              <w:pStyle w:val="Compact"/>
              <w:jc w:val="left"/>
            </w:pPr>
            <w:r>
              <w:rPr>
                <w:rFonts w:ascii="Times New Roman" w:hAnsi="Times New Roman"/>
                <w:sz w:val="17"/>
              </w:rPr>
              <w:t xml:space="preserve">preeclampsia</w:t>
            </w:r>
          </w:p>
        </w:tc>
        <w:tc>
          <w:tcPr>
            <w:tcW w:type="dxa" w:w="2062"/>
          </w:tcPr>
          <w:p>
            <w:pPr>
              <w:pStyle w:val="Compact"/>
              <w:jc w:val="left"/>
            </w:pPr>
            <w:r>
              <w:rPr>
                <w:rFonts w:ascii="Times New Roman" w:hAnsi="Times New Roman"/>
                <w:sz w:val="17"/>
              </w:rPr>
              <w:t xml:space="preserve">sage_rwr</w:t>
            </w:r>
          </w:p>
        </w:tc>
        <w:tc>
          <w:tcPr>
            <w:tcW w:type="dxa" w:w="1406"/>
          </w:tcPr>
          <w:p>
            <w:pPr>
              <w:pStyle w:val="Compact"/>
              <w:jc w:val="right"/>
            </w:pPr>
            <w:r>
              <w:rPr>
                <w:rFonts w:ascii="Times New Roman" w:hAnsi="Times New Roman"/>
                <w:sz w:val="17"/>
              </w:rPr>
              <w:t xml:space="preserve">10</w:t>
            </w:r>
          </w:p>
        </w:tc>
        <w:tc>
          <w:tcPr>
            <w:tcW w:type="dxa" w:w="1500"/>
          </w:tcPr>
          <w:p>
            <w:pPr>
              <w:pStyle w:val="Compact"/>
              <w:jc w:val="right"/>
            </w:pPr>
            <w:r>
              <w:rPr>
                <w:rFonts w:ascii="Times New Roman" w:hAnsi="Times New Roman"/>
                <w:sz w:val="17"/>
              </w:rPr>
              <w:t xml:space="preserve">0.660</w:t>
            </w:r>
          </w:p>
        </w:tc>
        <w:tc>
          <w:tcPr>
            <w:tcW w:type="dxa" w:w="1500"/>
          </w:tcPr>
          <w:p>
            <w:pPr>
              <w:pStyle w:val="Compact"/>
              <w:jc w:val="right"/>
            </w:pPr>
            <w:r>
              <w:rPr>
                <w:rFonts w:ascii="Times New Roman" w:hAnsi="Times New Roman"/>
                <w:sz w:val="17"/>
              </w:rPr>
              <w:t xml:space="preserve">0.253</w:t>
            </w:r>
          </w:p>
        </w:tc>
      </w:tr>
    </w:tbl>
    <w:bookmarkEnd w:id="157"/>
    <w:p>
      <w:pPr>
        <w:pStyle w:val="Heading2"/>
      </w:pPr>
      <w:bookmarkStart w:id="158" w:name="X70cbb7173a7adf156446737f0ddf29cbca4db01"/>
      <w:r>
        <w:rPr>
          <w:rFonts w:ascii="Times New Roman" w:hAnsi="Times New Roman"/>
        </w:rPr>
        <w:t xml:space="preserve">Paired graph-baseline comparisons within the project</w:t>
      </w:r>
      <w:bookmarkEnd w:id="158"/>
    </w:p>
    <w:p>
      <w:pPr>
        <w:pStyle w:val="FirstParagraph"/>
      </w:pPr>
      <w:r>
        <w:rPr>
          <w:rFonts w:ascii="Times New Roman" w:hAnsi="Times New Roman"/>
        </w:rPr>
        <w:t xml:space="preserve">Each gene-ranking method shares the same Open Targets label folds, so its comparison with random walk with restart (RWR) is naturally paired within a disease. The ten available folds are two random repetitions of five-fold gene cross-validation on one graph, not ten independent validation studies. On the internal label-recovery endpoint, preeclampsia GCN exceeds RWR in all ten AUROC folds and nine of ten AUPRC folds: mean AUROC 0.691 versus 0.663, mean AUPRC 0.279 versus 0.260. This modest advantage is not a published-SOTA benchmark break, because it is within-project with one label snapshot and a baseline tuned under its own implementation. Postpartum depression points in the opposite direction (GCN AUROC 0.695 versus RWR 0.803; AUPRC 0.0056 versus 0.0275). PCOS also favors RWR in all ten AUROC folds (0.772 versus 0.753), and interstitial cystitis has a GCN AUROC gain of only 0.0094 while RWR has better AUPRC (0.0608 versus 0.0482). The full paired comparison across nine diseases and both metrics is</w:t>
      </w:r>
      <w:r>
        <w:rPr>
          <w:rFonts w:ascii="Times New Roman" w:hAnsi="Times New Roman"/>
        </w:rPr>
        <w:t xml:space="preserve"> </w:t>
      </w:r>
      <w:r>
        <w:rPr>
          <w:rStyle w:val="VerbatimChar"/>
          <w:rFonts w:ascii="Times New Roman" w:hAnsi="Times New Roman"/>
        </w:rPr>
        <w:t xml:space="preserve">results/gene_fold_uncertainty.csv</w:t>
      </w:r>
      <w:r>
        <w:rPr>
          <w:rFonts w:ascii="Times New Roman" w:hAnsi="Times New Roman"/>
        </w:rPr>
        <w:t xml:space="preserve">; exploratory fold-level signed-rank p-values cannot be interpreted as external replication because folds reuse genes, edges and disease label sources. The AUPRC reversals warn against picking only the most flattering ranking metric.</w:t>
      </w:r>
    </w:p>
    <w:p>
      <w:pPr>
        <w:pStyle w:val="Heading2"/>
      </w:pPr>
      <w:bookmarkStart w:id="159" w:name="all-held-out-patient-classifier-cohorts"/>
      <w:r>
        <w:rPr>
          <w:rFonts w:ascii="Times New Roman" w:hAnsi="Times New Roman"/>
        </w:rPr>
        <w:t xml:space="preserve">All held-out patient-classifier cohorts</w:t>
      </w:r>
      <w:bookmarkEnd w:id="159"/>
    </w:p>
    <w:p>
      <w:pPr>
        <w:pStyle w:val="FirstParagraph"/>
      </w:pPr>
      <w:r>
        <w:rPr>
          <w:rFonts w:ascii="Times New Roman" w:hAnsi="Times New Roman"/>
        </w:rPr>
        <w:t xml:space="preserve">The cohort-wise CNN table discloses every tested holdout rather than selected wins. Across 17 holdouts, the mean CNN AUROC is 0.578 and the logistic baseline is 0.628 (unweighted over cohorts). The CNN with randomized gene order is an ablation; an ordering effect, even when present in one cohort, does not confer clinical usefulness. Results vary across cohorts because sample sizes, assay technologies, tissue and phenotype definitions vary. The classifier learns from a training cohort but is evaluated on a different GEO deposit; this guards against within-cohort leakage but not against every form of selection bias or shared participant identifiers. The accession split and GSM overlap checks are therefore part of the analysis, not clerical cleanup.</w:t>
      </w:r>
    </w:p>
    <w:bookmarkStart w:id="160" w:name="tab:cnn"/>
    <w:p>
      <w:pPr>
        <w:pStyle w:val="TableCaption"/>
      </w:pPr>
      <w:r>
        <w:rPr>
          <w:rFonts w:ascii="Times New Roman" w:hAnsi="Times New Roman"/>
        </w:rPr>
        <w:t xml:space="preserve">Historical pre-seeding CNN scores for every held-out validation cohort, retained for audit; corrected rerun is in the seeded output CSV. Test sizes are sample counts, not independent cohorts. No row is a published-benchmark comparison.</w:t>
      </w:r>
    </w:p>
    <w:tbl>
      <w:tblPr>
        <w:tblStyle w:val="Table"/>
        <w:tblW w:type="pct" w:w="0.0"/>
        <w:tblLayout w:type="fixed"/>
        <w:tblLook w:firstRow="1"/>
        <w:tblCaption w:val="Historical pre-seeding CNN scores for every held-out validation cohort, retained for audit; corrected rerun is in the seeded output CSV. Test sizes are sample counts, not independent cohorts. No row is a published-benchmark comparison."/>
      </w:tblPr>
      <w:tblGrid>
        <w:gridCol w:w="1848"/>
        <w:gridCol w:w="1938"/>
        <w:gridCol w:w="1030"/>
        <w:gridCol w:w="1030"/>
        <w:gridCol w:w="1030"/>
        <w:gridCol w:w="1363"/>
        <w:gridCol w:w="1136"/>
      </w:tblGrid>
      <w:tr>
        <w:trPr>
          <w:cnfStyle w:firstRow="1"/>
        </w:trPr>
        <w:tc>
          <w:tcPr>
            <w:tcW w:type="dxa" w:w="1848"/>
            <w:tcBorders>
              <w:bottom w:val="single"/>
            </w:tcBorders>
            <w:vAlign w:val="bottom"/>
          </w:tcPr>
          <w:p>
            <w:pPr>
              <w:pStyle w:val="Compact"/>
              <w:jc w:val="left"/>
            </w:pPr>
            <w:r>
              <w:rPr>
                <w:rFonts w:ascii="Times New Roman" w:hAnsi="Times New Roman"/>
                <w:sz w:val="17"/>
              </w:rPr>
              <w:t xml:space="preserve">Disease</w:t>
            </w:r>
          </w:p>
        </w:tc>
        <w:tc>
          <w:tcPr>
            <w:tcW w:type="dxa" w:w="1938"/>
            <w:tcBorders>
              <w:bottom w:val="single"/>
            </w:tcBorders>
            <w:vAlign w:val="bottom"/>
          </w:tcPr>
          <w:p>
            <w:pPr>
              <w:pStyle w:val="Compact"/>
              <w:jc w:val="left"/>
            </w:pPr>
            <w:r>
              <w:rPr>
                <w:rFonts w:ascii="Times New Roman" w:hAnsi="Times New Roman"/>
                <w:sz w:val="17"/>
              </w:rPr>
              <w:t xml:space="preserve">GEO</w:t>
            </w:r>
          </w:p>
        </w:tc>
        <w:tc>
          <w:tcPr>
            <w:tcW w:type="dxa" w:w="1030"/>
            <w:tcBorders>
              <w:bottom w:val="single"/>
            </w:tcBorders>
            <w:vAlign w:val="bottom"/>
          </w:tcPr>
          <w:p>
            <w:pPr>
              <w:pStyle w:val="Compact"/>
              <w:jc w:val="right"/>
            </w:pPr>
            <w:r>
              <w:rPr>
                <w:rFonts w:ascii="Times New Roman" w:hAnsi="Times New Roman"/>
                <w:sz w:val="17"/>
              </w:rPr>
              <w:t xml:space="preserve">Train n</w:t>
            </w:r>
          </w:p>
        </w:tc>
        <w:tc>
          <w:tcPr>
            <w:tcW w:type="dxa" w:w="1030"/>
            <w:tcBorders>
              <w:bottom w:val="single"/>
            </w:tcBorders>
            <w:vAlign w:val="bottom"/>
          </w:tcPr>
          <w:p>
            <w:pPr>
              <w:pStyle w:val="Compact"/>
              <w:jc w:val="right"/>
            </w:pPr>
            <w:r>
              <w:rPr>
                <w:rFonts w:ascii="Times New Roman" w:hAnsi="Times New Roman"/>
                <w:sz w:val="17"/>
              </w:rPr>
              <w:t xml:space="preserve">Test n</w:t>
            </w:r>
          </w:p>
        </w:tc>
        <w:tc>
          <w:tcPr>
            <w:tcW w:type="dxa" w:w="1030"/>
            <w:tcBorders>
              <w:bottom w:val="single"/>
            </w:tcBorders>
            <w:vAlign w:val="bottom"/>
          </w:tcPr>
          <w:p>
            <w:pPr>
              <w:pStyle w:val="Compact"/>
              <w:jc w:val="right"/>
            </w:pPr>
            <w:r>
              <w:rPr>
                <w:rFonts w:ascii="Times New Roman" w:hAnsi="Times New Roman"/>
                <w:sz w:val="17"/>
              </w:rPr>
              <w:t xml:space="preserve">CNN</w:t>
            </w:r>
          </w:p>
        </w:tc>
        <w:tc>
          <w:tcPr>
            <w:tcW w:type="dxa" w:w="1363"/>
            <w:tcBorders>
              <w:bottom w:val="single"/>
            </w:tcBorders>
            <w:vAlign w:val="bottom"/>
          </w:tcPr>
          <w:p>
            <w:pPr>
              <w:pStyle w:val="Compact"/>
              <w:jc w:val="right"/>
            </w:pPr>
            <w:r>
              <w:rPr>
                <w:rFonts w:ascii="Times New Roman" w:hAnsi="Times New Roman"/>
                <w:sz w:val="17"/>
              </w:rPr>
              <w:t xml:space="preserve">Random-order CNN</w:t>
            </w:r>
          </w:p>
        </w:tc>
        <w:tc>
          <w:tcPr>
            <w:tcW w:type="dxa" w:w="1136"/>
            <w:tcBorders>
              <w:bottom w:val="single"/>
            </w:tcBorders>
            <w:vAlign w:val="bottom"/>
          </w:tcPr>
          <w:p>
            <w:pPr>
              <w:pStyle w:val="Compact"/>
              <w:jc w:val="right"/>
            </w:pPr>
            <w:r>
              <w:rPr>
                <w:rFonts w:ascii="Times New Roman" w:hAnsi="Times New Roman"/>
                <w:sz w:val="17"/>
              </w:rPr>
              <w:t xml:space="preserve">Logistic</w:t>
            </w:r>
          </w:p>
        </w:tc>
      </w:tr>
      <w:tr>
        <w:tc>
          <w:tcPr>
            <w:tcW w:type="dxa" w:w="1848"/>
          </w:tcPr>
          <w:p>
            <w:pPr>
              <w:pStyle w:val="Compact"/>
              <w:jc w:val="left"/>
            </w:pPr>
            <w:r>
              <w:rPr>
                <w:rFonts w:ascii="Times New Roman" w:hAnsi="Times New Roman"/>
                <w:sz w:val="17"/>
              </w:rPr>
              <w:t xml:space="preserve">endometriosis</w:t>
            </w:r>
          </w:p>
        </w:tc>
        <w:tc>
          <w:tcPr>
            <w:tcW w:type="dxa" w:w="1938"/>
          </w:tcPr>
          <w:p>
            <w:pPr>
              <w:pStyle w:val="Compact"/>
              <w:jc w:val="left"/>
            </w:pPr>
            <w:r>
              <w:rPr>
                <w:rFonts w:ascii="Times New Roman" w:hAnsi="Times New Roman"/>
                <w:sz w:val="17"/>
              </w:rPr>
              <w:t xml:space="preserve">GSE58178</w:t>
            </w:r>
          </w:p>
        </w:tc>
        <w:tc>
          <w:tcPr>
            <w:tcW w:type="dxa" w:w="1030"/>
          </w:tcPr>
          <w:p>
            <w:pPr>
              <w:pStyle w:val="Compact"/>
              <w:jc w:val="right"/>
            </w:pPr>
            <w:r>
              <w:rPr>
                <w:rFonts w:ascii="Times New Roman" w:hAnsi="Times New Roman"/>
                <w:sz w:val="17"/>
              </w:rPr>
              <w:t xml:space="preserve">313</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0.528</w:t>
            </w:r>
          </w:p>
        </w:tc>
        <w:tc>
          <w:tcPr>
            <w:tcW w:type="dxa" w:w="1363"/>
          </w:tcPr>
          <w:p>
            <w:pPr>
              <w:pStyle w:val="Compact"/>
              <w:jc w:val="right"/>
            </w:pPr>
            <w:r>
              <w:rPr>
                <w:rFonts w:ascii="Times New Roman" w:hAnsi="Times New Roman"/>
                <w:sz w:val="17"/>
              </w:rPr>
              <w:t xml:space="preserve">0.472</w:t>
            </w:r>
          </w:p>
        </w:tc>
        <w:tc>
          <w:tcPr>
            <w:tcW w:type="dxa" w:w="1136"/>
          </w:tcPr>
          <w:p>
            <w:pPr>
              <w:pStyle w:val="Compact"/>
              <w:jc w:val="right"/>
            </w:pPr>
            <w:r>
              <w:rPr>
                <w:rFonts w:ascii="Times New Roman" w:hAnsi="Times New Roman"/>
                <w:sz w:val="17"/>
              </w:rPr>
              <w:t xml:space="preserve">0.833</w:t>
            </w:r>
          </w:p>
        </w:tc>
      </w:tr>
      <w:tr>
        <w:tc>
          <w:tcPr>
            <w:tcW w:type="dxa" w:w="1848"/>
          </w:tcPr>
          <w:p>
            <w:pPr>
              <w:pStyle w:val="Compact"/>
              <w:jc w:val="left"/>
            </w:pPr>
            <w:r>
              <w:rPr>
                <w:rFonts w:ascii="Times New Roman" w:hAnsi="Times New Roman"/>
                <w:sz w:val="17"/>
              </w:rPr>
              <w:t xml:space="preserve">endometriosis</w:t>
            </w:r>
          </w:p>
        </w:tc>
        <w:tc>
          <w:tcPr>
            <w:tcW w:type="dxa" w:w="1938"/>
          </w:tcPr>
          <w:p>
            <w:pPr>
              <w:pStyle w:val="Compact"/>
              <w:jc w:val="left"/>
            </w:pPr>
            <w:r>
              <w:rPr>
                <w:rFonts w:ascii="Times New Roman" w:hAnsi="Times New Roman"/>
                <w:sz w:val="17"/>
              </w:rPr>
              <w:t xml:space="preserve">GSE73622</w:t>
            </w:r>
          </w:p>
        </w:tc>
        <w:tc>
          <w:tcPr>
            <w:tcW w:type="dxa" w:w="1030"/>
          </w:tcPr>
          <w:p>
            <w:pPr>
              <w:pStyle w:val="Compact"/>
              <w:jc w:val="right"/>
            </w:pPr>
            <w:r>
              <w:rPr>
                <w:rFonts w:ascii="Times New Roman" w:hAnsi="Times New Roman"/>
                <w:sz w:val="17"/>
              </w:rPr>
              <w:t xml:space="preserve">313</w:t>
            </w:r>
          </w:p>
        </w:tc>
        <w:tc>
          <w:tcPr>
            <w:tcW w:type="dxa" w:w="1030"/>
          </w:tcPr>
          <w:p>
            <w:pPr>
              <w:pStyle w:val="Compact"/>
              <w:jc w:val="right"/>
            </w:pPr>
            <w:r>
              <w:rPr>
                <w:rFonts w:ascii="Times New Roman" w:hAnsi="Times New Roman"/>
                <w:sz w:val="17"/>
              </w:rPr>
              <w:t xml:space="preserve">50</w:t>
            </w:r>
          </w:p>
        </w:tc>
        <w:tc>
          <w:tcPr>
            <w:tcW w:type="dxa" w:w="1030"/>
          </w:tcPr>
          <w:p>
            <w:pPr>
              <w:pStyle w:val="Compact"/>
              <w:jc w:val="right"/>
            </w:pPr>
            <w:r>
              <w:rPr>
                <w:rFonts w:ascii="Times New Roman" w:hAnsi="Times New Roman"/>
                <w:sz w:val="17"/>
              </w:rPr>
              <w:t xml:space="preserve">0.593</w:t>
            </w:r>
          </w:p>
        </w:tc>
        <w:tc>
          <w:tcPr>
            <w:tcW w:type="dxa" w:w="1363"/>
          </w:tcPr>
          <w:p>
            <w:pPr>
              <w:pStyle w:val="Compact"/>
              <w:jc w:val="right"/>
            </w:pPr>
            <w:r>
              <w:rPr>
                <w:rFonts w:ascii="Times New Roman" w:hAnsi="Times New Roman"/>
                <w:sz w:val="17"/>
              </w:rPr>
              <w:t xml:space="preserve">0.521</w:t>
            </w:r>
          </w:p>
        </w:tc>
        <w:tc>
          <w:tcPr>
            <w:tcW w:type="dxa" w:w="1136"/>
          </w:tcPr>
          <w:p>
            <w:pPr>
              <w:pStyle w:val="Compact"/>
              <w:jc w:val="right"/>
            </w:pPr>
            <w:r>
              <w:rPr>
                <w:rFonts w:ascii="Times New Roman" w:hAnsi="Times New Roman"/>
                <w:sz w:val="17"/>
              </w:rPr>
              <w:t xml:space="preserve">0.420</w:t>
            </w:r>
          </w:p>
        </w:tc>
      </w:tr>
      <w:tr>
        <w:tc>
          <w:tcPr>
            <w:tcW w:type="dxa" w:w="1848"/>
          </w:tcPr>
          <w:p>
            <w:pPr>
              <w:pStyle w:val="Compact"/>
              <w:jc w:val="left"/>
            </w:pPr>
            <w:r>
              <w:rPr>
                <w:rFonts w:ascii="Times New Roman" w:hAnsi="Times New Roman"/>
                <w:sz w:val="17"/>
              </w:rPr>
              <w:t xml:space="preserve">endometriosis</w:t>
            </w:r>
          </w:p>
        </w:tc>
        <w:tc>
          <w:tcPr>
            <w:tcW w:type="dxa" w:w="1938"/>
          </w:tcPr>
          <w:p>
            <w:pPr>
              <w:pStyle w:val="Compact"/>
              <w:jc w:val="left"/>
            </w:pPr>
            <w:r>
              <w:rPr>
                <w:rFonts w:ascii="Times New Roman" w:hAnsi="Times New Roman"/>
                <w:sz w:val="17"/>
              </w:rPr>
              <w:t xml:space="preserve">GSE120103</w:t>
            </w:r>
          </w:p>
        </w:tc>
        <w:tc>
          <w:tcPr>
            <w:tcW w:type="dxa" w:w="1030"/>
          </w:tcPr>
          <w:p>
            <w:pPr>
              <w:pStyle w:val="Compact"/>
              <w:jc w:val="right"/>
            </w:pPr>
            <w:r>
              <w:rPr>
                <w:rFonts w:ascii="Times New Roman" w:hAnsi="Times New Roman"/>
                <w:sz w:val="17"/>
              </w:rPr>
              <w:t xml:space="preserve">313</w:t>
            </w:r>
          </w:p>
        </w:tc>
        <w:tc>
          <w:tcPr>
            <w:tcW w:type="dxa" w:w="1030"/>
          </w:tcPr>
          <w:p>
            <w:pPr>
              <w:pStyle w:val="Compact"/>
              <w:jc w:val="right"/>
            </w:pPr>
            <w:r>
              <w:rPr>
                <w:rFonts w:ascii="Times New Roman" w:hAnsi="Times New Roman"/>
                <w:sz w:val="17"/>
              </w:rPr>
              <w:t xml:space="preserve">36</w:t>
            </w:r>
          </w:p>
        </w:tc>
        <w:tc>
          <w:tcPr>
            <w:tcW w:type="dxa" w:w="1030"/>
          </w:tcPr>
          <w:p>
            <w:pPr>
              <w:pStyle w:val="Compact"/>
              <w:jc w:val="right"/>
            </w:pPr>
            <w:r>
              <w:rPr>
                <w:rFonts w:ascii="Times New Roman" w:hAnsi="Times New Roman"/>
                <w:sz w:val="17"/>
              </w:rPr>
              <w:t xml:space="preserve">0.583</w:t>
            </w:r>
          </w:p>
        </w:tc>
        <w:tc>
          <w:tcPr>
            <w:tcW w:type="dxa" w:w="1363"/>
          </w:tcPr>
          <w:p>
            <w:pPr>
              <w:pStyle w:val="Compact"/>
              <w:jc w:val="right"/>
            </w:pPr>
            <w:r>
              <w:rPr>
                <w:rFonts w:ascii="Times New Roman" w:hAnsi="Times New Roman"/>
                <w:sz w:val="17"/>
              </w:rPr>
              <w:t xml:space="preserve">0.534</w:t>
            </w:r>
          </w:p>
        </w:tc>
        <w:tc>
          <w:tcPr>
            <w:tcW w:type="dxa" w:w="1136"/>
          </w:tcPr>
          <w:p>
            <w:pPr>
              <w:pStyle w:val="Compact"/>
              <w:jc w:val="right"/>
            </w:pPr>
            <w:r>
              <w:rPr>
                <w:rFonts w:ascii="Times New Roman" w:hAnsi="Times New Roman"/>
                <w:sz w:val="17"/>
              </w:rPr>
              <w:t xml:space="preserve">0.759</w:t>
            </w:r>
          </w:p>
        </w:tc>
      </w:tr>
      <w:tr>
        <w:tc>
          <w:tcPr>
            <w:tcW w:type="dxa" w:w="1848"/>
          </w:tcPr>
          <w:p>
            <w:pPr>
              <w:pStyle w:val="Compact"/>
              <w:jc w:val="left"/>
            </w:pPr>
            <w:r>
              <w:rPr>
                <w:rFonts w:ascii="Times New Roman" w:hAnsi="Times New Roman"/>
                <w:sz w:val="17"/>
              </w:rPr>
              <w:t xml:space="preserve">endometriosis</w:t>
            </w:r>
          </w:p>
        </w:tc>
        <w:tc>
          <w:tcPr>
            <w:tcW w:type="dxa" w:w="1938"/>
          </w:tcPr>
          <w:p>
            <w:pPr>
              <w:pStyle w:val="Compact"/>
              <w:jc w:val="left"/>
            </w:pPr>
            <w:r>
              <w:rPr>
                <w:rFonts w:ascii="Times New Roman" w:hAnsi="Times New Roman"/>
                <w:sz w:val="17"/>
              </w:rPr>
              <w:t xml:space="preserve">GSE248593</w:t>
            </w:r>
          </w:p>
        </w:tc>
        <w:tc>
          <w:tcPr>
            <w:tcW w:type="dxa" w:w="1030"/>
          </w:tcPr>
          <w:p>
            <w:pPr>
              <w:pStyle w:val="Compact"/>
              <w:jc w:val="right"/>
            </w:pPr>
            <w:r>
              <w:rPr>
                <w:rFonts w:ascii="Times New Roman" w:hAnsi="Times New Roman"/>
                <w:sz w:val="17"/>
              </w:rPr>
              <w:t xml:space="preserve">313</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0.278</w:t>
            </w:r>
          </w:p>
        </w:tc>
        <w:tc>
          <w:tcPr>
            <w:tcW w:type="dxa" w:w="1363"/>
          </w:tcPr>
          <w:p>
            <w:pPr>
              <w:pStyle w:val="Compact"/>
              <w:jc w:val="right"/>
            </w:pPr>
            <w:r>
              <w:rPr>
                <w:rFonts w:ascii="Times New Roman" w:hAnsi="Times New Roman"/>
                <w:sz w:val="17"/>
              </w:rPr>
              <w:t xml:space="preserve">0.194</w:t>
            </w:r>
          </w:p>
        </w:tc>
        <w:tc>
          <w:tcPr>
            <w:tcW w:type="dxa" w:w="1136"/>
          </w:tcPr>
          <w:p>
            <w:pPr>
              <w:pStyle w:val="Compact"/>
              <w:jc w:val="right"/>
            </w:pPr>
            <w:r>
              <w:rPr>
                <w:rFonts w:ascii="Times New Roman" w:hAnsi="Times New Roman"/>
                <w:sz w:val="17"/>
              </w:rPr>
              <w:t xml:space="preserve">0.583</w:t>
            </w:r>
          </w:p>
        </w:tc>
      </w:tr>
      <w:tr>
        <w:tc>
          <w:tcPr>
            <w:tcW w:type="dxa" w:w="1848"/>
          </w:tcPr>
          <w:p>
            <w:pPr>
              <w:pStyle w:val="Compact"/>
              <w:jc w:val="left"/>
            </w:pPr>
            <w:r>
              <w:rPr>
                <w:rFonts w:ascii="Times New Roman" w:hAnsi="Times New Roman"/>
                <w:sz w:val="17"/>
              </w:rPr>
              <w:t xml:space="preserve">interstitial_cystitis</w:t>
            </w:r>
          </w:p>
        </w:tc>
        <w:tc>
          <w:tcPr>
            <w:tcW w:type="dxa" w:w="1938"/>
          </w:tcPr>
          <w:p>
            <w:pPr>
              <w:pStyle w:val="Compact"/>
              <w:jc w:val="left"/>
            </w:pPr>
            <w:r>
              <w:rPr>
                <w:rFonts w:ascii="Times New Roman" w:hAnsi="Times New Roman"/>
                <w:sz w:val="17"/>
              </w:rPr>
              <w:t xml:space="preserve">GSE57560</w:t>
            </w:r>
          </w:p>
        </w:tc>
        <w:tc>
          <w:tcPr>
            <w:tcW w:type="dxa" w:w="1030"/>
          </w:tcPr>
          <w:p>
            <w:pPr>
              <w:pStyle w:val="Compact"/>
              <w:jc w:val="right"/>
            </w:pPr>
            <w:r>
              <w:rPr>
                <w:rFonts w:ascii="Times New Roman" w:hAnsi="Times New Roman"/>
                <w:sz w:val="17"/>
              </w:rPr>
              <w:t xml:space="preserve">30</w:t>
            </w:r>
          </w:p>
        </w:tc>
        <w:tc>
          <w:tcPr>
            <w:tcW w:type="dxa" w:w="1030"/>
          </w:tcPr>
          <w:p>
            <w:pPr>
              <w:pStyle w:val="Compact"/>
              <w:jc w:val="right"/>
            </w:pPr>
            <w:r>
              <w:rPr>
                <w:rFonts w:ascii="Times New Roman" w:hAnsi="Times New Roman"/>
                <w:sz w:val="17"/>
              </w:rPr>
              <w:t xml:space="preserve">7</w:t>
            </w:r>
          </w:p>
        </w:tc>
        <w:tc>
          <w:tcPr>
            <w:tcW w:type="dxa" w:w="1030"/>
          </w:tcPr>
          <w:p>
            <w:pPr>
              <w:pStyle w:val="Compact"/>
              <w:jc w:val="right"/>
            </w:pPr>
            <w:r>
              <w:rPr>
                <w:rFonts w:ascii="Times New Roman" w:hAnsi="Times New Roman"/>
                <w:sz w:val="17"/>
              </w:rPr>
              <w:t xml:space="preserve">1.000</w:t>
            </w:r>
          </w:p>
        </w:tc>
        <w:tc>
          <w:tcPr>
            <w:tcW w:type="dxa" w:w="1363"/>
          </w:tcPr>
          <w:p>
            <w:pPr>
              <w:pStyle w:val="Compact"/>
              <w:jc w:val="right"/>
            </w:pPr>
            <w:r>
              <w:rPr>
                <w:rFonts w:ascii="Times New Roman" w:hAnsi="Times New Roman"/>
                <w:sz w:val="17"/>
              </w:rPr>
              <w:t xml:space="preserve">0.833</w:t>
            </w:r>
          </w:p>
        </w:tc>
        <w:tc>
          <w:tcPr>
            <w:tcW w:type="dxa" w:w="1136"/>
          </w:tcPr>
          <w:p>
            <w:pPr>
              <w:pStyle w:val="Compact"/>
              <w:jc w:val="right"/>
            </w:pPr>
            <w:r>
              <w:rPr>
                <w:rFonts w:ascii="Times New Roman" w:hAnsi="Times New Roman"/>
                <w:sz w:val="17"/>
              </w:rPr>
              <w:t xml:space="preserve">1.000</w:t>
            </w:r>
          </w:p>
        </w:tc>
      </w:tr>
      <w:tr>
        <w:tc>
          <w:tcPr>
            <w:tcW w:type="dxa" w:w="1848"/>
          </w:tcPr>
          <w:p>
            <w:pPr>
              <w:pStyle w:val="Compact"/>
              <w:jc w:val="left"/>
            </w:pPr>
            <w:r>
              <w:rPr>
                <w:rFonts w:ascii="Times New Roman" w:hAnsi="Times New Roman"/>
                <w:sz w:val="17"/>
              </w:rPr>
              <w:t xml:space="preserve">leishmaniasis</w:t>
            </w:r>
          </w:p>
        </w:tc>
        <w:tc>
          <w:tcPr>
            <w:tcW w:type="dxa" w:w="1938"/>
          </w:tcPr>
          <w:p>
            <w:pPr>
              <w:pStyle w:val="Compact"/>
              <w:jc w:val="left"/>
            </w:pPr>
            <w:r>
              <w:rPr>
                <w:rFonts w:ascii="Times New Roman" w:hAnsi="Times New Roman"/>
                <w:sz w:val="17"/>
              </w:rPr>
              <w:t xml:space="preserve">GSE125993</w:t>
            </w:r>
          </w:p>
        </w:tc>
        <w:tc>
          <w:tcPr>
            <w:tcW w:type="dxa" w:w="1030"/>
          </w:tcPr>
          <w:p>
            <w:pPr>
              <w:pStyle w:val="Compact"/>
              <w:jc w:val="right"/>
            </w:pPr>
            <w:r>
              <w:rPr>
                <w:rFonts w:ascii="Times New Roman" w:hAnsi="Times New Roman"/>
                <w:sz w:val="17"/>
              </w:rPr>
              <w:t xml:space="preserve">65</w:t>
            </w:r>
          </w:p>
        </w:tc>
        <w:tc>
          <w:tcPr>
            <w:tcW w:type="dxa" w:w="1030"/>
          </w:tcPr>
          <w:p>
            <w:pPr>
              <w:pStyle w:val="Compact"/>
              <w:jc w:val="right"/>
            </w:pPr>
            <w:r>
              <w:rPr>
                <w:rFonts w:ascii="Times New Roman" w:hAnsi="Times New Roman"/>
                <w:sz w:val="17"/>
              </w:rPr>
              <w:t xml:space="preserve">45</w:t>
            </w:r>
          </w:p>
        </w:tc>
        <w:tc>
          <w:tcPr>
            <w:tcW w:type="dxa" w:w="1030"/>
          </w:tcPr>
          <w:p>
            <w:pPr>
              <w:pStyle w:val="Compact"/>
              <w:jc w:val="right"/>
            </w:pPr>
            <w:r>
              <w:rPr>
                <w:rFonts w:ascii="Times New Roman" w:hAnsi="Times New Roman"/>
                <w:sz w:val="17"/>
              </w:rPr>
              <w:t xml:space="preserve">0.412</w:t>
            </w:r>
          </w:p>
        </w:tc>
        <w:tc>
          <w:tcPr>
            <w:tcW w:type="dxa" w:w="1363"/>
          </w:tcPr>
          <w:p>
            <w:pPr>
              <w:pStyle w:val="Compact"/>
              <w:jc w:val="right"/>
            </w:pPr>
            <w:r>
              <w:rPr>
                <w:rFonts w:ascii="Times New Roman" w:hAnsi="Times New Roman"/>
                <w:sz w:val="17"/>
              </w:rPr>
              <w:t xml:space="preserve">0.418</w:t>
            </w:r>
          </w:p>
        </w:tc>
        <w:tc>
          <w:tcPr>
            <w:tcW w:type="dxa" w:w="1136"/>
          </w:tcPr>
          <w:p>
            <w:pPr>
              <w:pStyle w:val="Compact"/>
              <w:jc w:val="right"/>
            </w:pPr>
            <w:r>
              <w:rPr>
                <w:rFonts w:ascii="Times New Roman" w:hAnsi="Times New Roman"/>
                <w:sz w:val="17"/>
              </w:rPr>
              <w:t xml:space="preserve">0.655</w:t>
            </w:r>
          </w:p>
        </w:tc>
      </w:tr>
      <w:tr>
        <w:tc>
          <w:tcPr>
            <w:tcW w:type="dxa" w:w="1848"/>
          </w:tcPr>
          <w:p>
            <w:pPr>
              <w:pStyle w:val="Compact"/>
              <w:jc w:val="left"/>
            </w:pPr>
            <w:r>
              <w:rPr>
                <w:rFonts w:ascii="Times New Roman" w:hAnsi="Times New Roman"/>
                <w:sz w:val="17"/>
              </w:rPr>
              <w:t xml:space="preserve">me_cfs</w:t>
            </w:r>
          </w:p>
        </w:tc>
        <w:tc>
          <w:tcPr>
            <w:tcW w:type="dxa" w:w="1938"/>
          </w:tcPr>
          <w:p>
            <w:pPr>
              <w:pStyle w:val="Compact"/>
              <w:jc w:val="left"/>
            </w:pPr>
            <w:r>
              <w:rPr>
                <w:rFonts w:ascii="Times New Roman" w:hAnsi="Times New Roman"/>
                <w:sz w:val="17"/>
              </w:rPr>
              <w:t xml:space="preserve">GSE16059</w:t>
            </w:r>
          </w:p>
        </w:tc>
        <w:tc>
          <w:tcPr>
            <w:tcW w:type="dxa" w:w="1030"/>
          </w:tcPr>
          <w:p>
            <w:pPr>
              <w:pStyle w:val="Compact"/>
              <w:jc w:val="right"/>
            </w:pPr>
            <w:r>
              <w:rPr>
                <w:rFonts w:ascii="Times New Roman" w:hAnsi="Times New Roman"/>
                <w:sz w:val="17"/>
              </w:rPr>
              <w:t xml:space="preserve">30</w:t>
            </w:r>
          </w:p>
        </w:tc>
        <w:tc>
          <w:tcPr>
            <w:tcW w:type="dxa" w:w="1030"/>
          </w:tcPr>
          <w:p>
            <w:pPr>
              <w:pStyle w:val="Compact"/>
              <w:jc w:val="right"/>
            </w:pPr>
            <w:r>
              <w:rPr>
                <w:rFonts w:ascii="Times New Roman" w:hAnsi="Times New Roman"/>
                <w:sz w:val="17"/>
              </w:rPr>
              <w:t xml:space="preserve">76</w:t>
            </w:r>
          </w:p>
        </w:tc>
        <w:tc>
          <w:tcPr>
            <w:tcW w:type="dxa" w:w="1030"/>
          </w:tcPr>
          <w:p>
            <w:pPr>
              <w:pStyle w:val="Compact"/>
              <w:jc w:val="right"/>
            </w:pPr>
            <w:r>
              <w:rPr>
                <w:rFonts w:ascii="Times New Roman" w:hAnsi="Times New Roman"/>
                <w:sz w:val="17"/>
              </w:rPr>
              <w:t xml:space="preserve">0.405</w:t>
            </w:r>
          </w:p>
        </w:tc>
        <w:tc>
          <w:tcPr>
            <w:tcW w:type="dxa" w:w="1363"/>
          </w:tcPr>
          <w:p>
            <w:pPr>
              <w:pStyle w:val="Compact"/>
              <w:jc w:val="right"/>
            </w:pPr>
            <w:r>
              <w:rPr>
                <w:rFonts w:ascii="Times New Roman" w:hAnsi="Times New Roman"/>
                <w:sz w:val="17"/>
              </w:rPr>
              <w:t xml:space="preserve">0.457</w:t>
            </w:r>
          </w:p>
        </w:tc>
        <w:tc>
          <w:tcPr>
            <w:tcW w:type="dxa" w:w="1136"/>
          </w:tcPr>
          <w:p>
            <w:pPr>
              <w:pStyle w:val="Compact"/>
              <w:jc w:val="right"/>
            </w:pPr>
            <w:r>
              <w:rPr>
                <w:rFonts w:ascii="Times New Roman" w:hAnsi="Times New Roman"/>
                <w:sz w:val="17"/>
              </w:rPr>
              <w:t xml:space="preserve">0.383</w:t>
            </w:r>
          </w:p>
        </w:tc>
      </w:tr>
      <w:tr>
        <w:tc>
          <w:tcPr>
            <w:tcW w:type="dxa" w:w="1848"/>
          </w:tcPr>
          <w:p>
            <w:pPr>
              <w:pStyle w:val="Compact"/>
              <w:jc w:val="left"/>
            </w:pPr>
            <w:r>
              <w:rPr>
                <w:rFonts w:ascii="Times New Roman" w:hAnsi="Times New Roman"/>
                <w:sz w:val="17"/>
              </w:rPr>
              <w:t xml:space="preserve">pcos</w:t>
            </w:r>
          </w:p>
        </w:tc>
        <w:tc>
          <w:tcPr>
            <w:tcW w:type="dxa" w:w="1938"/>
          </w:tcPr>
          <w:p>
            <w:pPr>
              <w:pStyle w:val="Compact"/>
              <w:jc w:val="left"/>
            </w:pPr>
            <w:r>
              <w:rPr>
                <w:rFonts w:ascii="Times New Roman" w:hAnsi="Times New Roman"/>
                <w:sz w:val="17"/>
              </w:rPr>
              <w:t xml:space="preserve">GSE80432</w:t>
            </w:r>
          </w:p>
        </w:tc>
        <w:tc>
          <w:tcPr>
            <w:tcW w:type="dxa" w:w="1030"/>
          </w:tcPr>
          <w:p>
            <w:pPr>
              <w:pStyle w:val="Compact"/>
              <w:jc w:val="right"/>
            </w:pPr>
            <w:r>
              <w:rPr>
                <w:rFonts w:ascii="Times New Roman" w:hAnsi="Times New Roman"/>
                <w:sz w:val="17"/>
              </w:rPr>
              <w:t xml:space="preserve">103</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0.906</w:t>
            </w:r>
          </w:p>
        </w:tc>
        <w:tc>
          <w:tcPr>
            <w:tcW w:type="dxa" w:w="1363"/>
          </w:tcPr>
          <w:p>
            <w:pPr>
              <w:pStyle w:val="Compact"/>
              <w:jc w:val="right"/>
            </w:pPr>
            <w:r>
              <w:rPr>
                <w:rFonts w:ascii="Times New Roman" w:hAnsi="Times New Roman"/>
                <w:sz w:val="17"/>
              </w:rPr>
              <w:t xml:space="preserve">0.844</w:t>
            </w:r>
          </w:p>
        </w:tc>
        <w:tc>
          <w:tcPr>
            <w:tcW w:type="dxa" w:w="1136"/>
          </w:tcPr>
          <w:p>
            <w:pPr>
              <w:pStyle w:val="Compact"/>
              <w:jc w:val="right"/>
            </w:pPr>
            <w:r>
              <w:rPr>
                <w:rFonts w:ascii="Times New Roman" w:hAnsi="Times New Roman"/>
                <w:sz w:val="17"/>
              </w:rPr>
              <w:t xml:space="preserve">0.750</w:t>
            </w:r>
          </w:p>
        </w:tc>
      </w:tr>
      <w:tr>
        <w:tc>
          <w:tcPr>
            <w:tcW w:type="dxa" w:w="1848"/>
          </w:tcPr>
          <w:p>
            <w:pPr>
              <w:pStyle w:val="Compact"/>
              <w:jc w:val="left"/>
            </w:pPr>
            <w:r>
              <w:rPr>
                <w:rFonts w:ascii="Times New Roman" w:hAnsi="Times New Roman"/>
                <w:sz w:val="17"/>
              </w:rPr>
              <w:t xml:space="preserve">pcos</w:t>
            </w:r>
          </w:p>
        </w:tc>
        <w:tc>
          <w:tcPr>
            <w:tcW w:type="dxa" w:w="1938"/>
          </w:tcPr>
          <w:p>
            <w:pPr>
              <w:pStyle w:val="Compact"/>
              <w:jc w:val="left"/>
            </w:pPr>
            <w:r>
              <w:rPr>
                <w:rFonts w:ascii="Times New Roman" w:hAnsi="Times New Roman"/>
                <w:sz w:val="17"/>
              </w:rPr>
              <w:t xml:space="preserve">GSE106724</w:t>
            </w:r>
          </w:p>
        </w:tc>
        <w:tc>
          <w:tcPr>
            <w:tcW w:type="dxa" w:w="1030"/>
          </w:tcPr>
          <w:p>
            <w:pPr>
              <w:pStyle w:val="Compact"/>
              <w:jc w:val="right"/>
            </w:pPr>
            <w:r>
              <w:rPr>
                <w:rFonts w:ascii="Times New Roman" w:hAnsi="Times New Roman"/>
                <w:sz w:val="17"/>
              </w:rPr>
              <w:t xml:space="preserve">103</w:t>
            </w:r>
          </w:p>
        </w:tc>
        <w:tc>
          <w:tcPr>
            <w:tcW w:type="dxa" w:w="1030"/>
          </w:tcPr>
          <w:p>
            <w:pPr>
              <w:pStyle w:val="Compact"/>
              <w:jc w:val="right"/>
            </w:pPr>
            <w:r>
              <w:rPr>
                <w:rFonts w:ascii="Times New Roman" w:hAnsi="Times New Roman"/>
                <w:sz w:val="17"/>
              </w:rPr>
              <w:t xml:space="preserve">8</w:t>
            </w:r>
          </w:p>
        </w:tc>
        <w:tc>
          <w:tcPr>
            <w:tcW w:type="dxa" w:w="1030"/>
          </w:tcPr>
          <w:p>
            <w:pPr>
              <w:pStyle w:val="Compact"/>
              <w:jc w:val="right"/>
            </w:pPr>
            <w:r>
              <w:rPr>
                <w:rFonts w:ascii="Times New Roman" w:hAnsi="Times New Roman"/>
                <w:sz w:val="17"/>
              </w:rPr>
              <w:t xml:space="preserve">0.938</w:t>
            </w:r>
          </w:p>
        </w:tc>
        <w:tc>
          <w:tcPr>
            <w:tcW w:type="dxa" w:w="1363"/>
          </w:tcPr>
          <w:p>
            <w:pPr>
              <w:pStyle w:val="Compact"/>
              <w:jc w:val="right"/>
            </w:pPr>
            <w:r>
              <w:rPr>
                <w:rFonts w:ascii="Times New Roman" w:hAnsi="Times New Roman"/>
                <w:sz w:val="17"/>
              </w:rPr>
              <w:t xml:space="preserve">1.000</w:t>
            </w:r>
          </w:p>
        </w:tc>
        <w:tc>
          <w:tcPr>
            <w:tcW w:type="dxa" w:w="1136"/>
          </w:tcPr>
          <w:p>
            <w:pPr>
              <w:pStyle w:val="Compact"/>
              <w:jc w:val="right"/>
            </w:pPr>
            <w:r>
              <w:rPr>
                <w:rFonts w:ascii="Times New Roman" w:hAnsi="Times New Roman"/>
                <w:sz w:val="17"/>
              </w:rPr>
              <w:t xml:space="preserve">0.938</w:t>
            </w:r>
          </w:p>
        </w:tc>
      </w:tr>
      <w:tr>
        <w:tc>
          <w:tcPr>
            <w:tcW w:type="dxa" w:w="1848"/>
          </w:tcPr>
          <w:p>
            <w:pPr>
              <w:pStyle w:val="Compact"/>
              <w:jc w:val="left"/>
            </w:pPr>
            <w:r>
              <w:rPr>
                <w:rFonts w:ascii="Times New Roman" w:hAnsi="Times New Roman"/>
                <w:sz w:val="17"/>
              </w:rPr>
              <w:t xml:space="preserve">pcos</w:t>
            </w:r>
          </w:p>
        </w:tc>
        <w:tc>
          <w:tcPr>
            <w:tcW w:type="dxa" w:w="1938"/>
          </w:tcPr>
          <w:p>
            <w:pPr>
              <w:pStyle w:val="Compact"/>
              <w:jc w:val="left"/>
            </w:pPr>
            <w:r>
              <w:rPr>
                <w:rFonts w:ascii="Times New Roman" w:hAnsi="Times New Roman"/>
                <w:sz w:val="17"/>
              </w:rPr>
              <w:t xml:space="preserve">GSE124226</w:t>
            </w:r>
          </w:p>
        </w:tc>
        <w:tc>
          <w:tcPr>
            <w:tcW w:type="dxa" w:w="1030"/>
          </w:tcPr>
          <w:p>
            <w:pPr>
              <w:pStyle w:val="Compact"/>
              <w:jc w:val="right"/>
            </w:pPr>
            <w:r>
              <w:rPr>
                <w:rFonts w:ascii="Times New Roman" w:hAnsi="Times New Roman"/>
                <w:sz w:val="17"/>
              </w:rPr>
              <w:t xml:space="preserve">103</w:t>
            </w:r>
          </w:p>
        </w:tc>
        <w:tc>
          <w:tcPr>
            <w:tcW w:type="dxa" w:w="1030"/>
          </w:tcPr>
          <w:p>
            <w:pPr>
              <w:pStyle w:val="Compact"/>
              <w:jc w:val="right"/>
            </w:pPr>
            <w:r>
              <w:rPr>
                <w:rFonts w:ascii="Times New Roman" w:hAnsi="Times New Roman"/>
                <w:sz w:val="17"/>
              </w:rPr>
              <w:t xml:space="preserve">8</w:t>
            </w:r>
          </w:p>
        </w:tc>
        <w:tc>
          <w:tcPr>
            <w:tcW w:type="dxa" w:w="1030"/>
          </w:tcPr>
          <w:p>
            <w:pPr>
              <w:pStyle w:val="Compact"/>
              <w:jc w:val="right"/>
            </w:pPr>
            <w:r>
              <w:rPr>
                <w:rFonts w:ascii="Times New Roman" w:hAnsi="Times New Roman"/>
                <w:sz w:val="17"/>
              </w:rPr>
              <w:t xml:space="preserve">0.625</w:t>
            </w:r>
          </w:p>
        </w:tc>
        <w:tc>
          <w:tcPr>
            <w:tcW w:type="dxa" w:w="1363"/>
          </w:tcPr>
          <w:p>
            <w:pPr>
              <w:pStyle w:val="Compact"/>
              <w:jc w:val="right"/>
            </w:pPr>
            <w:r>
              <w:rPr>
                <w:rFonts w:ascii="Times New Roman" w:hAnsi="Times New Roman"/>
                <w:sz w:val="17"/>
              </w:rPr>
              <w:t xml:space="preserve">0.812</w:t>
            </w:r>
          </w:p>
        </w:tc>
        <w:tc>
          <w:tcPr>
            <w:tcW w:type="dxa" w:w="1136"/>
          </w:tcPr>
          <w:p>
            <w:pPr>
              <w:pStyle w:val="Compact"/>
              <w:jc w:val="right"/>
            </w:pPr>
            <w:r>
              <w:rPr>
                <w:rFonts w:ascii="Times New Roman" w:hAnsi="Times New Roman"/>
                <w:sz w:val="17"/>
              </w:rPr>
              <w:t xml:space="preserve">0.500</w:t>
            </w:r>
          </w:p>
        </w:tc>
      </w:tr>
      <w:tr>
        <w:tc>
          <w:tcPr>
            <w:tcW w:type="dxa" w:w="1848"/>
          </w:tcPr>
          <w:p>
            <w:pPr>
              <w:pStyle w:val="Compact"/>
              <w:jc w:val="left"/>
            </w:pPr>
            <w:r>
              <w:rPr>
                <w:rFonts w:ascii="Times New Roman" w:hAnsi="Times New Roman"/>
                <w:sz w:val="17"/>
              </w:rPr>
              <w:t xml:space="preserve">pcos</w:t>
            </w:r>
          </w:p>
        </w:tc>
        <w:tc>
          <w:tcPr>
            <w:tcW w:type="dxa" w:w="1938"/>
          </w:tcPr>
          <w:p>
            <w:pPr>
              <w:pStyle w:val="Compact"/>
              <w:jc w:val="left"/>
            </w:pPr>
            <w:r>
              <w:rPr>
                <w:rFonts w:ascii="Times New Roman" w:hAnsi="Times New Roman"/>
                <w:sz w:val="17"/>
              </w:rPr>
              <w:t xml:space="preserve">GSE137684</w:t>
            </w:r>
          </w:p>
        </w:tc>
        <w:tc>
          <w:tcPr>
            <w:tcW w:type="dxa" w:w="1030"/>
          </w:tcPr>
          <w:p>
            <w:pPr>
              <w:pStyle w:val="Compact"/>
              <w:jc w:val="right"/>
            </w:pPr>
            <w:r>
              <w:rPr>
                <w:rFonts w:ascii="Times New Roman" w:hAnsi="Times New Roman"/>
                <w:sz w:val="17"/>
              </w:rPr>
              <w:t xml:space="preserve">103</w:t>
            </w:r>
          </w:p>
        </w:tc>
        <w:tc>
          <w:tcPr>
            <w:tcW w:type="dxa" w:w="1030"/>
          </w:tcPr>
          <w:p>
            <w:pPr>
              <w:pStyle w:val="Compact"/>
              <w:jc w:val="right"/>
            </w:pPr>
            <w:r>
              <w:rPr>
                <w:rFonts w:ascii="Times New Roman" w:hAnsi="Times New Roman"/>
                <w:sz w:val="17"/>
              </w:rPr>
              <w:t xml:space="preserve">12</w:t>
            </w:r>
          </w:p>
        </w:tc>
        <w:tc>
          <w:tcPr>
            <w:tcW w:type="dxa" w:w="1030"/>
          </w:tcPr>
          <w:p>
            <w:pPr>
              <w:pStyle w:val="Compact"/>
              <w:jc w:val="right"/>
            </w:pPr>
            <w:r>
              <w:rPr>
                <w:rFonts w:ascii="Times New Roman" w:hAnsi="Times New Roman"/>
                <w:sz w:val="17"/>
              </w:rPr>
              <w:t xml:space="preserve">0.719</w:t>
            </w:r>
          </w:p>
        </w:tc>
        <w:tc>
          <w:tcPr>
            <w:tcW w:type="dxa" w:w="1363"/>
          </w:tcPr>
          <w:p>
            <w:pPr>
              <w:pStyle w:val="Compact"/>
              <w:jc w:val="right"/>
            </w:pPr>
            <w:r>
              <w:rPr>
                <w:rFonts w:ascii="Times New Roman" w:hAnsi="Times New Roman"/>
                <w:sz w:val="17"/>
              </w:rPr>
              <w:t xml:space="preserve">0.844</w:t>
            </w:r>
          </w:p>
        </w:tc>
        <w:tc>
          <w:tcPr>
            <w:tcW w:type="dxa" w:w="1136"/>
          </w:tcPr>
          <w:p>
            <w:pPr>
              <w:pStyle w:val="Compact"/>
              <w:jc w:val="right"/>
            </w:pPr>
            <w:r>
              <w:rPr>
                <w:rFonts w:ascii="Times New Roman" w:hAnsi="Times New Roman"/>
                <w:sz w:val="17"/>
              </w:rPr>
              <w:t xml:space="preserve">0.875</w:t>
            </w:r>
          </w:p>
        </w:tc>
      </w:tr>
      <w:tr>
        <w:tc>
          <w:tcPr>
            <w:tcW w:type="dxa" w:w="1848"/>
          </w:tcPr>
          <w:p>
            <w:pPr>
              <w:pStyle w:val="Compact"/>
              <w:jc w:val="left"/>
            </w:pPr>
            <w:r>
              <w:rPr>
                <w:rFonts w:ascii="Times New Roman" w:hAnsi="Times New Roman"/>
                <w:sz w:val="17"/>
              </w:rPr>
              <w:t xml:space="preserve">postpartum_depression</w:t>
            </w:r>
          </w:p>
        </w:tc>
        <w:tc>
          <w:tcPr>
            <w:tcW w:type="dxa" w:w="1938"/>
          </w:tcPr>
          <w:p>
            <w:pPr>
              <w:pStyle w:val="Compact"/>
              <w:jc w:val="left"/>
            </w:pPr>
            <w:r>
              <w:rPr>
                <w:rFonts w:ascii="Times New Roman" w:hAnsi="Times New Roman"/>
                <w:sz w:val="17"/>
              </w:rPr>
              <w:t xml:space="preserve">GSE290313-PP</w:t>
            </w:r>
          </w:p>
        </w:tc>
        <w:tc>
          <w:tcPr>
            <w:tcW w:type="dxa" w:w="1030"/>
          </w:tcPr>
          <w:p>
            <w:pPr>
              <w:pStyle w:val="Compact"/>
              <w:jc w:val="right"/>
            </w:pPr>
            <w:r>
              <w:rPr>
                <w:rFonts w:ascii="Times New Roman" w:hAnsi="Times New Roman"/>
                <w:sz w:val="17"/>
              </w:rPr>
              <w:t xml:space="preserve">48</w:t>
            </w:r>
          </w:p>
        </w:tc>
        <w:tc>
          <w:tcPr>
            <w:tcW w:type="dxa" w:w="1030"/>
          </w:tcPr>
          <w:p>
            <w:pPr>
              <w:pStyle w:val="Compact"/>
              <w:jc w:val="right"/>
            </w:pPr>
            <w:r>
              <w:rPr>
                <w:rFonts w:ascii="Times New Roman" w:hAnsi="Times New Roman"/>
                <w:sz w:val="17"/>
              </w:rPr>
              <w:t xml:space="preserve">184</w:t>
            </w:r>
          </w:p>
        </w:tc>
        <w:tc>
          <w:tcPr>
            <w:tcW w:type="dxa" w:w="1030"/>
          </w:tcPr>
          <w:p>
            <w:pPr>
              <w:pStyle w:val="Compact"/>
              <w:jc w:val="right"/>
            </w:pPr>
            <w:r>
              <w:rPr>
                <w:rFonts w:ascii="Times New Roman" w:hAnsi="Times New Roman"/>
                <w:sz w:val="17"/>
              </w:rPr>
              <w:t xml:space="preserve">0.463</w:t>
            </w:r>
          </w:p>
        </w:tc>
        <w:tc>
          <w:tcPr>
            <w:tcW w:type="dxa" w:w="1363"/>
          </w:tcPr>
          <w:p>
            <w:pPr>
              <w:pStyle w:val="Compact"/>
              <w:jc w:val="right"/>
            </w:pPr>
            <w:r>
              <w:rPr>
                <w:rFonts w:ascii="Times New Roman" w:hAnsi="Times New Roman"/>
                <w:sz w:val="17"/>
              </w:rPr>
              <w:t xml:space="preserve">0.469</w:t>
            </w:r>
          </w:p>
        </w:tc>
        <w:tc>
          <w:tcPr>
            <w:tcW w:type="dxa" w:w="1136"/>
          </w:tcPr>
          <w:p>
            <w:pPr>
              <w:pStyle w:val="Compact"/>
              <w:jc w:val="right"/>
            </w:pPr>
            <w:r>
              <w:rPr>
                <w:rFonts w:ascii="Times New Roman" w:hAnsi="Times New Roman"/>
                <w:sz w:val="17"/>
              </w:rPr>
              <w:t xml:space="preserve">0.508</w:t>
            </w:r>
          </w:p>
        </w:tc>
      </w:tr>
      <w:tr>
        <w:tc>
          <w:tcPr>
            <w:tcW w:type="dxa" w:w="1848"/>
          </w:tcPr>
          <w:p>
            <w:pPr>
              <w:pStyle w:val="Compact"/>
              <w:jc w:val="left"/>
            </w:pPr>
            <w:r>
              <w:rPr>
                <w:rFonts w:ascii="Times New Roman" w:hAnsi="Times New Roman"/>
                <w:sz w:val="17"/>
              </w:rPr>
              <w:t xml:space="preserve">preeclampsia</w:t>
            </w:r>
          </w:p>
        </w:tc>
        <w:tc>
          <w:tcPr>
            <w:tcW w:type="dxa" w:w="1938"/>
          </w:tcPr>
          <w:p>
            <w:pPr>
              <w:pStyle w:val="Compact"/>
              <w:jc w:val="left"/>
            </w:pPr>
            <w:r>
              <w:rPr>
                <w:rFonts w:ascii="Times New Roman" w:hAnsi="Times New Roman"/>
                <w:sz w:val="17"/>
              </w:rPr>
              <w:t xml:space="preserve">GSE94643</w:t>
            </w:r>
          </w:p>
        </w:tc>
        <w:tc>
          <w:tcPr>
            <w:tcW w:type="dxa" w:w="1030"/>
          </w:tcPr>
          <w:p>
            <w:pPr>
              <w:pStyle w:val="Compact"/>
              <w:jc w:val="right"/>
            </w:pPr>
            <w:r>
              <w:rPr>
                <w:rFonts w:ascii="Times New Roman" w:hAnsi="Times New Roman"/>
                <w:sz w:val="17"/>
              </w:rPr>
              <w:t xml:space="preserve">672</w:t>
            </w:r>
          </w:p>
        </w:tc>
        <w:tc>
          <w:tcPr>
            <w:tcW w:type="dxa" w:w="1030"/>
          </w:tcPr>
          <w:p>
            <w:pPr>
              <w:pStyle w:val="Compact"/>
              <w:jc w:val="right"/>
            </w:pPr>
            <w:r>
              <w:rPr>
                <w:rFonts w:ascii="Times New Roman" w:hAnsi="Times New Roman"/>
                <w:sz w:val="17"/>
              </w:rPr>
              <w:t xml:space="preserve">16</w:t>
            </w:r>
          </w:p>
        </w:tc>
        <w:tc>
          <w:tcPr>
            <w:tcW w:type="dxa" w:w="1030"/>
          </w:tcPr>
          <w:p>
            <w:pPr>
              <w:pStyle w:val="Compact"/>
              <w:jc w:val="right"/>
            </w:pPr>
            <w:r>
              <w:rPr>
                <w:rFonts w:ascii="Times New Roman" w:hAnsi="Times New Roman"/>
                <w:sz w:val="17"/>
              </w:rPr>
              <w:t xml:space="preserve">0.422</w:t>
            </w:r>
          </w:p>
        </w:tc>
        <w:tc>
          <w:tcPr>
            <w:tcW w:type="dxa" w:w="1363"/>
          </w:tcPr>
          <w:p>
            <w:pPr>
              <w:pStyle w:val="Compact"/>
              <w:jc w:val="right"/>
            </w:pPr>
            <w:r>
              <w:rPr>
                <w:rFonts w:ascii="Times New Roman" w:hAnsi="Times New Roman"/>
                <w:sz w:val="17"/>
              </w:rPr>
              <w:t xml:space="preserve">0.375</w:t>
            </w:r>
          </w:p>
        </w:tc>
        <w:tc>
          <w:tcPr>
            <w:tcW w:type="dxa" w:w="1136"/>
          </w:tcPr>
          <w:p>
            <w:pPr>
              <w:pStyle w:val="Compact"/>
              <w:jc w:val="right"/>
            </w:pPr>
            <w:r>
              <w:rPr>
                <w:rFonts w:ascii="Times New Roman" w:hAnsi="Times New Roman"/>
                <w:sz w:val="17"/>
              </w:rPr>
              <w:t xml:space="preserve">0.797</w:t>
            </w:r>
          </w:p>
        </w:tc>
      </w:tr>
      <w:tr>
        <w:tc>
          <w:tcPr>
            <w:tcW w:type="dxa" w:w="1848"/>
          </w:tcPr>
          <w:p>
            <w:pPr>
              <w:pStyle w:val="Compact"/>
              <w:jc w:val="left"/>
            </w:pPr>
            <w:r>
              <w:rPr>
                <w:rFonts w:ascii="Times New Roman" w:hAnsi="Times New Roman"/>
                <w:sz w:val="17"/>
              </w:rPr>
              <w:t xml:space="preserve">preeclampsia</w:t>
            </w:r>
          </w:p>
        </w:tc>
        <w:tc>
          <w:tcPr>
            <w:tcW w:type="dxa" w:w="1938"/>
          </w:tcPr>
          <w:p>
            <w:pPr>
              <w:pStyle w:val="Compact"/>
              <w:jc w:val="left"/>
            </w:pPr>
            <w:r>
              <w:rPr>
                <w:rFonts w:ascii="Times New Roman" w:hAnsi="Times New Roman"/>
                <w:sz w:val="17"/>
              </w:rPr>
              <w:t xml:space="preserve">GSE147776</w:t>
            </w:r>
          </w:p>
        </w:tc>
        <w:tc>
          <w:tcPr>
            <w:tcW w:type="dxa" w:w="1030"/>
          </w:tcPr>
          <w:p>
            <w:pPr>
              <w:pStyle w:val="Compact"/>
              <w:jc w:val="right"/>
            </w:pPr>
            <w:r>
              <w:rPr>
                <w:rFonts w:ascii="Times New Roman" w:hAnsi="Times New Roman"/>
                <w:sz w:val="17"/>
              </w:rPr>
              <w:t xml:space="preserve">672</w:t>
            </w:r>
          </w:p>
        </w:tc>
        <w:tc>
          <w:tcPr>
            <w:tcW w:type="dxa" w:w="1030"/>
          </w:tcPr>
          <w:p>
            <w:pPr>
              <w:pStyle w:val="Compact"/>
              <w:jc w:val="right"/>
            </w:pPr>
            <w:r>
              <w:rPr>
                <w:rFonts w:ascii="Times New Roman" w:hAnsi="Times New Roman"/>
                <w:sz w:val="17"/>
              </w:rPr>
              <w:t xml:space="preserve">21</w:t>
            </w:r>
          </w:p>
        </w:tc>
        <w:tc>
          <w:tcPr>
            <w:tcW w:type="dxa" w:w="1030"/>
          </w:tcPr>
          <w:p>
            <w:pPr>
              <w:pStyle w:val="Compact"/>
              <w:jc w:val="right"/>
            </w:pPr>
            <w:r>
              <w:rPr>
                <w:rFonts w:ascii="Times New Roman" w:hAnsi="Times New Roman"/>
                <w:sz w:val="17"/>
              </w:rPr>
              <w:t xml:space="preserve">0.346</w:t>
            </w:r>
          </w:p>
        </w:tc>
        <w:tc>
          <w:tcPr>
            <w:tcW w:type="dxa" w:w="1363"/>
          </w:tcPr>
          <w:p>
            <w:pPr>
              <w:pStyle w:val="Compact"/>
              <w:jc w:val="right"/>
            </w:pPr>
            <w:r>
              <w:rPr>
                <w:rFonts w:ascii="Times New Roman" w:hAnsi="Times New Roman"/>
                <w:sz w:val="17"/>
              </w:rPr>
              <w:t xml:space="preserve">0.385</w:t>
            </w:r>
          </w:p>
        </w:tc>
        <w:tc>
          <w:tcPr>
            <w:tcW w:type="dxa" w:w="1136"/>
          </w:tcPr>
          <w:p>
            <w:pPr>
              <w:pStyle w:val="Compact"/>
              <w:jc w:val="right"/>
            </w:pPr>
            <w:r>
              <w:rPr>
                <w:rFonts w:ascii="Times New Roman" w:hAnsi="Times New Roman"/>
                <w:sz w:val="17"/>
              </w:rPr>
              <w:t xml:space="preserve">0.269</w:t>
            </w:r>
          </w:p>
        </w:tc>
      </w:tr>
      <w:tr>
        <w:tc>
          <w:tcPr>
            <w:tcW w:type="dxa" w:w="1848"/>
          </w:tcPr>
          <w:p>
            <w:pPr>
              <w:pStyle w:val="Compact"/>
              <w:jc w:val="left"/>
            </w:pPr>
            <w:r>
              <w:rPr>
                <w:rFonts w:ascii="Times New Roman" w:hAnsi="Times New Roman"/>
                <w:sz w:val="17"/>
              </w:rPr>
              <w:t xml:space="preserve">preeclampsia</w:t>
            </w:r>
          </w:p>
        </w:tc>
        <w:tc>
          <w:tcPr>
            <w:tcW w:type="dxa" w:w="1938"/>
          </w:tcPr>
          <w:p>
            <w:pPr>
              <w:pStyle w:val="Compact"/>
              <w:jc w:val="left"/>
            </w:pPr>
            <w:r>
              <w:rPr>
                <w:rFonts w:ascii="Times New Roman" w:hAnsi="Times New Roman"/>
                <w:sz w:val="17"/>
              </w:rPr>
              <w:t xml:space="preserve">GSE149440</w:t>
            </w:r>
          </w:p>
        </w:tc>
        <w:tc>
          <w:tcPr>
            <w:tcW w:type="dxa" w:w="1030"/>
          </w:tcPr>
          <w:p>
            <w:pPr>
              <w:pStyle w:val="Compact"/>
              <w:jc w:val="right"/>
            </w:pPr>
            <w:r>
              <w:rPr>
                <w:rFonts w:ascii="Times New Roman" w:hAnsi="Times New Roman"/>
                <w:sz w:val="17"/>
              </w:rPr>
              <w:t xml:space="preserve">672</w:t>
            </w:r>
          </w:p>
        </w:tc>
        <w:tc>
          <w:tcPr>
            <w:tcW w:type="dxa" w:w="1030"/>
          </w:tcPr>
          <w:p>
            <w:pPr>
              <w:pStyle w:val="Compact"/>
              <w:jc w:val="right"/>
            </w:pPr>
            <w:r>
              <w:rPr>
                <w:rFonts w:ascii="Times New Roman" w:hAnsi="Times New Roman"/>
                <w:sz w:val="17"/>
              </w:rPr>
              <w:t xml:space="preserve">380</w:t>
            </w:r>
          </w:p>
        </w:tc>
        <w:tc>
          <w:tcPr>
            <w:tcW w:type="dxa" w:w="1030"/>
          </w:tcPr>
          <w:p>
            <w:pPr>
              <w:pStyle w:val="Compact"/>
              <w:jc w:val="right"/>
            </w:pPr>
            <w:r>
              <w:rPr>
                <w:rFonts w:ascii="Times New Roman" w:hAnsi="Times New Roman"/>
                <w:sz w:val="17"/>
              </w:rPr>
              <w:t xml:space="preserve">0.442</w:t>
            </w:r>
          </w:p>
        </w:tc>
        <w:tc>
          <w:tcPr>
            <w:tcW w:type="dxa" w:w="1363"/>
          </w:tcPr>
          <w:p>
            <w:pPr>
              <w:pStyle w:val="Compact"/>
              <w:jc w:val="right"/>
            </w:pPr>
            <w:r>
              <w:rPr>
                <w:rFonts w:ascii="Times New Roman" w:hAnsi="Times New Roman"/>
                <w:sz w:val="17"/>
              </w:rPr>
              <w:t xml:space="preserve">0.558</w:t>
            </w:r>
          </w:p>
        </w:tc>
        <w:tc>
          <w:tcPr>
            <w:tcW w:type="dxa" w:w="1136"/>
          </w:tcPr>
          <w:p>
            <w:pPr>
              <w:pStyle w:val="Compact"/>
              <w:jc w:val="right"/>
            </w:pPr>
            <w:r>
              <w:rPr>
                <w:rFonts w:ascii="Times New Roman" w:hAnsi="Times New Roman"/>
                <w:sz w:val="17"/>
              </w:rPr>
              <w:t xml:space="preserve">0.507</w:t>
            </w:r>
          </w:p>
        </w:tc>
      </w:tr>
      <w:tr>
        <w:tc>
          <w:tcPr>
            <w:tcW w:type="dxa" w:w="1848"/>
          </w:tcPr>
          <w:p>
            <w:pPr>
              <w:pStyle w:val="Compact"/>
              <w:jc w:val="left"/>
            </w:pPr>
            <w:r>
              <w:rPr>
                <w:rFonts w:ascii="Times New Roman" w:hAnsi="Times New Roman"/>
                <w:sz w:val="17"/>
              </w:rPr>
              <w:t xml:space="preserve">preeclampsia</w:t>
            </w:r>
          </w:p>
        </w:tc>
        <w:tc>
          <w:tcPr>
            <w:tcW w:type="dxa" w:w="1938"/>
          </w:tcPr>
          <w:p>
            <w:pPr>
              <w:pStyle w:val="Compact"/>
              <w:jc w:val="left"/>
            </w:pPr>
            <w:r>
              <w:rPr>
                <w:rFonts w:ascii="Times New Roman" w:hAnsi="Times New Roman"/>
                <w:sz w:val="17"/>
              </w:rPr>
              <w:t xml:space="preserve">GSE186819</w:t>
            </w:r>
          </w:p>
        </w:tc>
        <w:tc>
          <w:tcPr>
            <w:tcW w:type="dxa" w:w="1030"/>
          </w:tcPr>
          <w:p>
            <w:pPr>
              <w:pStyle w:val="Compact"/>
              <w:jc w:val="right"/>
            </w:pPr>
            <w:r>
              <w:rPr>
                <w:rFonts w:ascii="Times New Roman" w:hAnsi="Times New Roman"/>
                <w:sz w:val="17"/>
              </w:rPr>
              <w:t xml:space="preserve">672</w:t>
            </w:r>
          </w:p>
        </w:tc>
        <w:tc>
          <w:tcPr>
            <w:tcW w:type="dxa" w:w="1030"/>
          </w:tcPr>
          <w:p>
            <w:pPr>
              <w:pStyle w:val="Compact"/>
              <w:jc w:val="right"/>
            </w:pPr>
            <w:r>
              <w:rPr>
                <w:rFonts w:ascii="Times New Roman" w:hAnsi="Times New Roman"/>
                <w:sz w:val="17"/>
              </w:rPr>
              <w:t xml:space="preserve">25</w:t>
            </w:r>
          </w:p>
        </w:tc>
        <w:tc>
          <w:tcPr>
            <w:tcW w:type="dxa" w:w="1030"/>
          </w:tcPr>
          <w:p>
            <w:pPr>
              <w:pStyle w:val="Compact"/>
              <w:jc w:val="right"/>
            </w:pPr>
            <w:r>
              <w:rPr>
                <w:rFonts w:ascii="Times New Roman" w:hAnsi="Times New Roman"/>
                <w:sz w:val="17"/>
              </w:rPr>
              <w:t xml:space="preserve">0.628</w:t>
            </w:r>
          </w:p>
        </w:tc>
        <w:tc>
          <w:tcPr>
            <w:tcW w:type="dxa" w:w="1363"/>
          </w:tcPr>
          <w:p>
            <w:pPr>
              <w:pStyle w:val="Compact"/>
              <w:jc w:val="right"/>
            </w:pPr>
            <w:r>
              <w:rPr>
                <w:rFonts w:ascii="Times New Roman" w:hAnsi="Times New Roman"/>
                <w:sz w:val="17"/>
              </w:rPr>
              <w:t xml:space="preserve">0.500</w:t>
            </w:r>
          </w:p>
        </w:tc>
        <w:tc>
          <w:tcPr>
            <w:tcW w:type="dxa" w:w="1136"/>
          </w:tcPr>
          <w:p>
            <w:pPr>
              <w:pStyle w:val="Compact"/>
              <w:jc w:val="right"/>
            </w:pPr>
            <w:r>
              <w:rPr>
                <w:rFonts w:ascii="Times New Roman" w:hAnsi="Times New Roman"/>
                <w:sz w:val="17"/>
              </w:rPr>
              <w:t xml:space="preserve">0.481</w:t>
            </w:r>
          </w:p>
        </w:tc>
      </w:tr>
      <w:tr>
        <w:tc>
          <w:tcPr>
            <w:tcW w:type="dxa" w:w="1848"/>
          </w:tcPr>
          <w:p>
            <w:pPr>
              <w:pStyle w:val="Compact"/>
              <w:jc w:val="left"/>
            </w:pPr>
            <w:r>
              <w:rPr>
                <w:rFonts w:ascii="Times New Roman" w:hAnsi="Times New Roman"/>
                <w:sz w:val="17"/>
              </w:rPr>
              <w:t xml:space="preserve">preeclampsia</w:t>
            </w:r>
          </w:p>
        </w:tc>
        <w:tc>
          <w:tcPr>
            <w:tcW w:type="dxa" w:w="1938"/>
          </w:tcPr>
          <w:p>
            <w:pPr>
              <w:pStyle w:val="Compact"/>
              <w:jc w:val="left"/>
            </w:pPr>
            <w:r>
              <w:rPr>
                <w:rFonts w:ascii="Times New Roman" w:hAnsi="Times New Roman"/>
                <w:sz w:val="17"/>
              </w:rPr>
              <w:t xml:space="preserve">GSE190639</w:t>
            </w:r>
          </w:p>
        </w:tc>
        <w:tc>
          <w:tcPr>
            <w:tcW w:type="dxa" w:w="1030"/>
          </w:tcPr>
          <w:p>
            <w:pPr>
              <w:pStyle w:val="Compact"/>
              <w:jc w:val="right"/>
            </w:pPr>
            <w:r>
              <w:rPr>
                <w:rFonts w:ascii="Times New Roman" w:hAnsi="Times New Roman"/>
                <w:sz w:val="17"/>
              </w:rPr>
              <w:t xml:space="preserve">672</w:t>
            </w:r>
          </w:p>
        </w:tc>
        <w:tc>
          <w:tcPr>
            <w:tcW w:type="dxa" w:w="1030"/>
          </w:tcPr>
          <w:p>
            <w:pPr>
              <w:pStyle w:val="Compact"/>
              <w:jc w:val="right"/>
            </w:pPr>
            <w:r>
              <w:rPr>
                <w:rFonts w:ascii="Times New Roman" w:hAnsi="Times New Roman"/>
                <w:sz w:val="17"/>
              </w:rPr>
              <w:t xml:space="preserve">19</w:t>
            </w:r>
          </w:p>
        </w:tc>
        <w:tc>
          <w:tcPr>
            <w:tcW w:type="dxa" w:w="1030"/>
          </w:tcPr>
          <w:p>
            <w:pPr>
              <w:pStyle w:val="Compact"/>
              <w:jc w:val="right"/>
            </w:pPr>
            <w:r>
              <w:rPr>
                <w:rFonts w:ascii="Times New Roman" w:hAnsi="Times New Roman"/>
                <w:sz w:val="17"/>
              </w:rPr>
              <w:t xml:space="preserve">0.538</w:t>
            </w:r>
          </w:p>
        </w:tc>
        <w:tc>
          <w:tcPr>
            <w:tcW w:type="dxa" w:w="1363"/>
          </w:tcPr>
          <w:p>
            <w:pPr>
              <w:pStyle w:val="Compact"/>
              <w:jc w:val="right"/>
            </w:pPr>
            <w:r>
              <w:rPr>
                <w:rFonts w:ascii="Times New Roman" w:hAnsi="Times New Roman"/>
                <w:sz w:val="17"/>
              </w:rPr>
              <w:t xml:space="preserve">0.564</w:t>
            </w:r>
          </w:p>
        </w:tc>
        <w:tc>
          <w:tcPr>
            <w:tcW w:type="dxa" w:w="1136"/>
          </w:tcPr>
          <w:p>
            <w:pPr>
              <w:pStyle w:val="Compact"/>
              <w:jc w:val="right"/>
            </w:pPr>
            <w:r>
              <w:rPr>
                <w:rFonts w:ascii="Times New Roman" w:hAnsi="Times New Roman"/>
                <w:sz w:val="17"/>
              </w:rPr>
              <w:t xml:space="preserve">0.410</w:t>
            </w:r>
          </w:p>
        </w:tc>
      </w:tr>
    </w:tbl>
    <w:bookmarkEnd w:id="160"/>
    <w:p>
      <w:pPr>
        <w:pStyle w:val="Heading2"/>
      </w:pPr>
      <w:bookmarkStart w:id="161" w:name="X941af4a1675ddd59ed13f8b2d5c567c2d7e1d79"/>
      <w:r>
        <w:rPr>
          <w:rFonts w:ascii="Times New Roman" w:hAnsi="Times New Roman"/>
        </w:rPr>
        <w:t xml:space="preserve">Cohort-level uncertainty for the CNN comparison</w:t>
      </w:r>
      <w:bookmarkEnd w:id="161"/>
    </w:p>
    <w:p>
      <w:pPr>
        <w:pStyle w:val="FirstParagraph"/>
      </w:pPr>
      <w:r>
        <w:rPr>
          <w:rFonts w:ascii="Times New Roman" w:hAnsi="Times New Roman"/>
        </w:rPr>
        <w:t xml:space="preserve">The difference in AUROC for each of the 17 cohort holdouts is paired: the CNN and logistic model face the same held-out sample set. The unweighted mean difference is -0.0496 (CNN minus logistic), compared with -0.0481 when weighted by validation sample count. Of 17 holdouts, the CNN wins seven, loses eight, and ties two; a two-sided sign test on the 15 non-ties yields</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108.png" id="0" name="Picture"/>
                    <pic:cNvPicPr>
                      <a:picLocks noChangeArrowheads="1" noChangeAspect="1"/>
                    </pic:cNvPicPr>
                  </pic:nvPicPr>
                  <pic:blipFill>
                    <a:blip r:embed="rId162"/>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and a paired Wilcoxon test yields</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09.png" id="0" name="Picture"/>
                    <pic:cNvPicPr>
                      <a:picLocks noChangeArrowheads="1" noChangeAspect="1"/>
                    </pic:cNvPicPr>
                  </pic:nvPicPr>
                  <pic:blipFill>
                    <a:blip r:embed="rId16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 seed-fixed 10,000-resample bootstrap over the 17 cohort differences returns a percentile interval</w:t>
      </w:r>
      <w:r>
        <w:rPr>
          <w:rFonts w:ascii="Times New Roman" w:hAnsi="Times New Roman"/>
        </w:rPr>
        <w:t xml:space="preserve"> </w:t>
      </w:r>
      <w:r>
        <w:rPr>
          <w:rFonts w:ascii="Times New Roman" w:hAnsi="Times New Roman"/>
        </w:rPr>
        <w:drawing>
          <wp:inline>
            <wp:extent cx="801370" cy="126747"/>
            <wp:effectExtent b="0" l="0" r="0" t="0"/>
            <wp:docPr descr="image" title="" id="1" name="Picture"/>
            <a:graphic>
              <a:graphicData uri="http://schemas.openxmlformats.org/drawingml/2006/picture">
                <pic:pic>
                  <pic:nvPicPr>
                    <pic:cNvPr descr="equations/in110.png" id="0" name="Picture"/>
                    <pic:cNvPicPr>
                      <a:picLocks noChangeArrowheads="1" noChangeAspect="1"/>
                    </pic:cNvPicPr>
                  </pic:nvPicPr>
                  <pic:blipFill>
                    <a:blip r:embed="rId164"/>
                    <a:stretch>
                      <a:fillRect/>
                    </a:stretch>
                  </pic:blipFill>
                  <pic:spPr bwMode="auto">
                    <a:xfrm>
                      <a:off x="0" y="0"/>
                      <a:ext cx="801370" cy="126747"/>
                    </a:xfrm>
                    <a:prstGeom prst="rect">
                      <a:avLst/>
                    </a:prstGeom>
                    <a:noFill/>
                    <a:ln w="9525">
                      <a:noFill/>
                      <a:headEnd/>
                      <a:tailEnd/>
                    </a:ln>
                  </pic:spPr>
                </pic:pic>
              </a:graphicData>
            </a:graphic>
          </wp:inline>
        </w:drawing>
      </w:r>
      <w:r>
        <w:rPr>
          <w:rFonts w:ascii="Times New Roman" w:hAnsi="Times New Roman"/>
        </w:rPr>
        <w:t xml:space="preserve">. It spans zero, so the point estimate does not establish statistical superiority of logistic regression in a population. Excluding the seven-sample interstitial-cystitis validation cohort leaves an unweighted mean difference of -0.0527, not a reversal. These checks are reproducible from</w:t>
      </w:r>
      <w:r>
        <w:rPr>
          <w:rFonts w:ascii="Times New Roman" w:hAnsi="Times New Roman"/>
        </w:rPr>
        <w:t xml:space="preserve"> </w:t>
      </w:r>
      <w:r>
        <w:rPr>
          <w:rStyle w:val="VerbatimChar"/>
          <w:rFonts w:ascii="Times New Roman" w:hAnsi="Times New Roman"/>
        </w:rPr>
        <w:t xml:space="preserve">results/cnn_uncertainty.json</w:t>
      </w:r>
      <w:r>
        <w:rPr>
          <w:rFonts w:ascii="Times New Roman" w:hAnsi="Times New Roman"/>
        </w:rPr>
        <w:t xml:space="preserve">; resampling selected GEO cohorts as if exchangeable ignores repeated disease families and tissue heterogeneity, so the bootstrap is descriptive rather than a generalizable inferential interval. The test sample count weighting also allows one large cohort to dominate. A controlled new prospective cohort, or an external matched-task benchmark, would be needed for a stronger comparison.</w:t>
      </w:r>
    </w:p>
    <w:p>
      <w:pPr>
        <w:pStyle w:val="Heading2"/>
      </w:pPr>
      <w:bookmarkStart w:id="165" w:name="X4e7d343d083ca9fb75750214f462c78b9ca4170"/>
      <w:r>
        <w:rPr>
          <w:rFonts w:ascii="Times New Roman" w:hAnsi="Times New Roman"/>
        </w:rPr>
        <w:t xml:space="preserve">PCOS follow-up with a null matched to selection</w:t>
      </w:r>
      <w:bookmarkEnd w:id="165"/>
    </w:p>
    <w:p>
      <w:pPr>
        <w:pStyle w:val="FirstParagraph"/>
      </w:pPr>
      <w:r>
        <w:rPr>
          <w:rFonts w:ascii="Times New Roman" w:hAnsi="Times New Roman"/>
        </w:rPr>
        <w:t xml:space="preserve">The original exploratory 20-gene set was chosen mostly from positive discovery effects, which makes a symmetric coin-flip null misleading whenever a validation cohort has an overall positive drift. We therefore drew 10,000 gene sets from the intersection of discovery and validation genes, excluding the target set, preserving the numbers with positive and negative discovery effects and a minimum four-discovery-cohort availability. The empirical</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estimates in Table </w:t>
      </w:r>
      <w:hyperlink w:anchor="tab:pcos">
        <w:r>
          <w:rPr>
            <w:rStyle w:val="Hyperlink"/>
          </w:rPr>
          <w:t xml:space="preserve">4</w:t>
        </w:r>
      </w:hyperlink>
      <w:r>
        <w:rPr>
          <w:rFonts w:ascii="Times New Roman" w:hAnsi="Times New Roman"/>
        </w:rPr>
        <w:t xml:space="preserve"> </w:t>
      </w:r>
      <w:r>
        <w:rPr>
          <w:rFonts w:ascii="Times New Roman" w:hAnsi="Times New Roman"/>
        </w:rPr>
        <w:t xml:space="preserve">measure how unusually many signs agree under this conditional gene universe. They are not a diagnosis-level sensitivity or specificity estimate. The positive GSE155489 result is a small cumulus-cell cohort; the other tissue and pooled-library tests were negative. A second confirmatory matched-tissue cohort was unavailable under the registered ID-mapping rule. Any claim that this fixed sign panel is established or that any one of its genes is novel would be premature.</w:t>
      </w:r>
    </w:p>
    <w:bookmarkStart w:id="166" w:name="tab:pcos"/>
    <w:p>
      <w:pPr>
        <w:pStyle w:val="TableCaption"/>
      </w:pPr>
      <w:r>
        <w:rPr>
          <w:rFonts w:ascii="Times New Roman" w:hAnsi="Times New Roman"/>
        </w:rPr>
        <w:t xml:space="preserve">Registered PCOS top-20 sign-set tests with a discovery-direction- and coverage-matched empirical null. Signs are the count agreeing among measured candidates, not gene-level significance. GSE193123 has three pooled case and three pooled control libraries.</w:t>
      </w:r>
    </w:p>
    <w:tbl>
      <w:tblPr>
        <w:tblStyle w:val="Table"/>
        <w:tblW w:type="pct" w:w="0.0"/>
        <w:tblLayout w:type="fixed"/>
        <w:tblLook w:firstRow="1"/>
        <w:tblCaption w:val="Registered PCOS top-20 sign-set tests with a discovery-direction- and coverage-matched empirical null. Signs are the count agreeing among measured candidates, not gene-level significance. GSE193123 has three pooled case and three pooled control libraries."/>
      </w:tblPr>
      <w:tblGrid>
        <w:gridCol w:w="1840"/>
        <w:gridCol w:w="1577"/>
        <w:gridCol w:w="1402"/>
        <w:gridCol w:w="1402"/>
        <w:gridCol w:w="1402"/>
        <w:gridCol w:w="1752"/>
      </w:tblGrid>
      <w:tr>
        <w:trPr>
          <w:cnfStyle w:firstRow="1"/>
        </w:trPr>
        <w:tc>
          <w:tcPr>
            <w:tcW w:type="dxa" w:w="1840"/>
            <w:tcBorders>
              <w:bottom w:val="single"/>
            </w:tcBorders>
            <w:vAlign w:val="bottom"/>
          </w:tcPr>
          <w:p>
            <w:pPr>
              <w:pStyle w:val="Compact"/>
              <w:jc w:val="left"/>
            </w:pPr>
            <w:r>
              <w:rPr>
                <w:rFonts w:ascii="Times New Roman" w:hAnsi="Times New Roman"/>
                <w:sz w:val="17"/>
              </w:rPr>
              <w:t xml:space="preserve">GEO</w:t>
            </w:r>
          </w:p>
        </w:tc>
        <w:tc>
          <w:tcPr>
            <w:tcW w:type="dxa" w:w="1577"/>
            <w:tcBorders>
              <w:bottom w:val="single"/>
            </w:tcBorders>
            <w:vAlign w:val="bottom"/>
          </w:tcPr>
          <w:p>
            <w:pPr>
              <w:pStyle w:val="Compact"/>
              <w:jc w:val="right"/>
            </w:pPr>
            <w:r>
              <w:rPr>
                <w:rFonts w:ascii="Times New Roman" w:hAnsi="Times New Roman"/>
                <w:sz w:val="17"/>
              </w:rPr>
              <w:t xml:space="preserve">Signs</w:t>
            </w:r>
          </w:p>
        </w:tc>
        <w:tc>
          <w:tcPr>
            <w:tcW w:type="dxa" w:w="1402"/>
            <w:tcBorders>
              <w:bottom w:val="single"/>
            </w:tcBorders>
            <w:vAlign w:val="bottom"/>
          </w:tcPr>
          <w:p>
            <w:pPr>
              <w:pStyle w:val="Compact"/>
              <w:jc w:val="right"/>
            </w:pPr>
            <w:r>
              <w:rPr>
                <w:rFonts w:ascii="Times New Roman" w:hAnsi="Times New Roman"/>
                <w:sz w:val="17"/>
              </w:rPr>
              <w:t xml:space="preserve">Matched</w:t>
            </w:r>
          </w:p>
        </w:tc>
        <w:tc>
          <w:tcPr>
            <w:tcW w:type="dxa" w:w="1402"/>
            <w:tcBorders>
              <w:bottom w:val="single"/>
            </w:tcBorders>
            <w:vAlign w:val="bottom"/>
          </w:tcPr>
          <w:p>
            <w:pPr>
              <w:pStyle w:val="Compact"/>
              <w:jc w:val="right"/>
            </w:pPr>
            <w:r>
              <w:rPr>
                <w:rFonts w:ascii="Times New Roman" w:hAnsi="Times New Roman"/>
                <w:sz w:val="17"/>
              </w:rPr>
              <w:t xml:space="preserve">Null mean</w:t>
            </w:r>
          </w:p>
        </w:tc>
        <w:tc>
          <w:tcPr>
            <w:tcW w:type="dxa" w:w="1402"/>
            <w:tcBorders>
              <w:bottom w:val="single"/>
            </w:tcBorders>
            <w:vAlign w:val="bottom"/>
          </w:tcPr>
          <w:p>
            <w:pPr>
              <w:pStyle w:val="Compact"/>
              <w:jc w:val="right"/>
            </w:pPr>
            <w:r>
              <w:rPr>
                <w:rFonts w:ascii="Times New Roman" w:hAnsi="Times New Roman"/>
                <w:sz w:val="17"/>
              </w:rPr>
              <w:t xml:space="preserve">Empirical p</w:t>
            </w:r>
          </w:p>
        </w:tc>
        <w:tc>
          <w:tcPr>
            <w:tcW w:type="dxa" w:w="1752"/>
            <w:tcBorders>
              <w:bottom w:val="single"/>
            </w:tcBorders>
            <w:vAlign w:val="bottom"/>
          </w:tcPr>
          <w:p>
            <w:pPr>
              <w:pStyle w:val="Compact"/>
              <w:jc w:val="left"/>
            </w:pPr>
            <w:r>
              <w:rPr>
                <w:rFonts w:ascii="Times New Roman" w:hAnsi="Times New Roman"/>
                <w:sz w:val="17"/>
              </w:rPr>
              <w:t xml:space="preserve">Cell type</w:t>
            </w:r>
          </w:p>
        </w:tc>
      </w:tr>
      <w:tr>
        <w:tc>
          <w:tcPr>
            <w:tcW w:type="dxa" w:w="1840"/>
          </w:tcPr>
          <w:p>
            <w:pPr>
              <w:pStyle w:val="Compact"/>
              <w:jc w:val="left"/>
            </w:pPr>
            <w:r>
              <w:rPr>
                <w:rFonts w:ascii="Times New Roman" w:hAnsi="Times New Roman"/>
                <w:sz w:val="17"/>
              </w:rPr>
              <w:t xml:space="preserve">GSE155489</w:t>
            </w:r>
          </w:p>
        </w:tc>
        <w:tc>
          <w:tcPr>
            <w:tcW w:type="dxa" w:w="1577"/>
          </w:tcPr>
          <w:p>
            <w:pPr>
              <w:pStyle w:val="Compact"/>
              <w:jc w:val="right"/>
            </w:pPr>
            <w:r>
              <w:rPr>
                <w:rFonts w:ascii="Times New Roman" w:hAnsi="Times New Roman"/>
                <w:sz w:val="17"/>
              </w:rPr>
              <w:t xml:space="preserve">16/17</w:t>
            </w:r>
          </w:p>
        </w:tc>
        <w:tc>
          <w:tcPr>
            <w:tcW w:type="dxa" w:w="1402"/>
          </w:tcPr>
          <w:p>
            <w:pPr>
              <w:pStyle w:val="Compact"/>
              <w:jc w:val="right"/>
            </w:pPr>
            <w:r>
              <w:rPr>
                <w:rFonts w:ascii="Times New Roman" w:hAnsi="Times New Roman"/>
                <w:sz w:val="17"/>
              </w:rPr>
              <w:t xml:space="preserve">16+/1-</w:t>
            </w:r>
          </w:p>
        </w:tc>
        <w:tc>
          <w:tcPr>
            <w:tcW w:type="dxa" w:w="1402"/>
          </w:tcPr>
          <w:p>
            <w:pPr>
              <w:pStyle w:val="Compact"/>
              <w:jc w:val="right"/>
            </w:pPr>
            <w:r>
              <w:rPr>
                <w:rFonts w:ascii="Times New Roman" w:hAnsi="Times New Roman"/>
                <w:sz w:val="17"/>
              </w:rPr>
              <w:t xml:space="preserve">11.73</w:t>
            </w:r>
          </w:p>
        </w:tc>
        <w:tc>
          <w:tcPr>
            <w:tcW w:type="dxa" w:w="1402"/>
          </w:tcPr>
          <w:p>
            <w:pPr>
              <w:pStyle w:val="Compact"/>
              <w:jc w:val="right"/>
            </w:pPr>
            <w:r>
              <w:rPr>
                <w:rFonts w:ascii="Times New Roman" w:hAnsi="Times New Roman"/>
                <w:sz w:val="17"/>
              </w:rPr>
              <w:t xml:space="preserve">0.0139</w:t>
            </w:r>
          </w:p>
        </w:tc>
        <w:tc>
          <w:tcPr>
            <w:tcW w:type="dxa" w:w="1752"/>
          </w:tcPr>
          <w:p>
            <w:pPr>
              <w:pStyle w:val="Compact"/>
              <w:jc w:val="left"/>
            </w:pPr>
            <w:r>
              <w:rPr>
                <w:rFonts w:ascii="Times New Roman" w:hAnsi="Times New Roman"/>
                <w:sz w:val="17"/>
              </w:rPr>
              <w:t xml:space="preserve">cumulus</w:t>
            </w:r>
          </w:p>
        </w:tc>
      </w:tr>
      <w:tr>
        <w:tc>
          <w:tcPr>
            <w:tcW w:type="dxa" w:w="1840"/>
          </w:tcPr>
          <w:p>
            <w:pPr>
              <w:pStyle w:val="Compact"/>
              <w:jc w:val="left"/>
            </w:pPr>
            <w:r>
              <w:rPr>
                <w:rFonts w:ascii="Times New Roman" w:hAnsi="Times New Roman"/>
                <w:sz w:val="17"/>
              </w:rPr>
              <w:t xml:space="preserve">GSE262735</w:t>
            </w:r>
          </w:p>
        </w:tc>
        <w:tc>
          <w:tcPr>
            <w:tcW w:type="dxa" w:w="1577"/>
          </w:tcPr>
          <w:p>
            <w:pPr>
              <w:pStyle w:val="Compact"/>
              <w:jc w:val="right"/>
            </w:pPr>
            <w:r>
              <w:rPr>
                <w:rFonts w:ascii="Times New Roman" w:hAnsi="Times New Roman"/>
                <w:sz w:val="17"/>
              </w:rPr>
              <w:t xml:space="preserve">11/17</w:t>
            </w:r>
          </w:p>
        </w:tc>
        <w:tc>
          <w:tcPr>
            <w:tcW w:type="dxa" w:w="1402"/>
          </w:tcPr>
          <w:p>
            <w:pPr>
              <w:pStyle w:val="Compact"/>
              <w:jc w:val="right"/>
            </w:pPr>
            <w:r>
              <w:rPr>
                <w:rFonts w:ascii="Times New Roman" w:hAnsi="Times New Roman"/>
                <w:sz w:val="17"/>
              </w:rPr>
              <w:t xml:space="preserve">16+/1-</w:t>
            </w:r>
          </w:p>
        </w:tc>
        <w:tc>
          <w:tcPr>
            <w:tcW w:type="dxa" w:w="1402"/>
          </w:tcPr>
          <w:p>
            <w:pPr>
              <w:pStyle w:val="Compact"/>
              <w:jc w:val="right"/>
            </w:pPr>
            <w:r>
              <w:rPr>
                <w:rFonts w:ascii="Times New Roman" w:hAnsi="Times New Roman"/>
                <w:sz w:val="17"/>
              </w:rPr>
              <w:t xml:space="preserve">8.68</w:t>
            </w:r>
          </w:p>
        </w:tc>
        <w:tc>
          <w:tcPr>
            <w:tcW w:type="dxa" w:w="1402"/>
          </w:tcPr>
          <w:p>
            <w:pPr>
              <w:pStyle w:val="Compact"/>
              <w:jc w:val="right"/>
            </w:pPr>
            <w:r>
              <w:rPr>
                <w:rFonts w:ascii="Times New Roman" w:hAnsi="Times New Roman"/>
                <w:sz w:val="17"/>
              </w:rPr>
              <w:t xml:space="preserve">0.1951</w:t>
            </w:r>
          </w:p>
        </w:tc>
        <w:tc>
          <w:tcPr>
            <w:tcW w:type="dxa" w:w="1752"/>
          </w:tcPr>
          <w:p>
            <w:pPr>
              <w:pStyle w:val="Compact"/>
              <w:jc w:val="left"/>
            </w:pPr>
            <w:r>
              <w:rPr>
                <w:rFonts w:ascii="Times New Roman" w:hAnsi="Times New Roman"/>
                <w:sz w:val="17"/>
              </w:rPr>
              <w:t xml:space="preserve">PBMC monocytes</w:t>
            </w:r>
          </w:p>
        </w:tc>
      </w:tr>
      <w:tr>
        <w:tc>
          <w:tcPr>
            <w:tcW w:type="dxa" w:w="1840"/>
          </w:tcPr>
          <w:p>
            <w:pPr>
              <w:pStyle w:val="Compact"/>
              <w:jc w:val="left"/>
            </w:pPr>
            <w:r>
              <w:rPr>
                <w:rFonts w:ascii="Times New Roman" w:hAnsi="Times New Roman"/>
                <w:sz w:val="17"/>
              </w:rPr>
              <w:t xml:space="preserve">GSE193123</w:t>
            </w:r>
          </w:p>
        </w:tc>
        <w:tc>
          <w:tcPr>
            <w:tcW w:type="dxa" w:w="1577"/>
          </w:tcPr>
          <w:p>
            <w:pPr>
              <w:pStyle w:val="Compact"/>
              <w:jc w:val="right"/>
            </w:pPr>
            <w:r>
              <w:rPr>
                <w:rFonts w:ascii="Times New Roman" w:hAnsi="Times New Roman"/>
                <w:sz w:val="17"/>
              </w:rPr>
              <w:t xml:space="preserve">12/18</w:t>
            </w:r>
          </w:p>
        </w:tc>
        <w:tc>
          <w:tcPr>
            <w:tcW w:type="dxa" w:w="1402"/>
          </w:tcPr>
          <w:p>
            <w:pPr>
              <w:pStyle w:val="Compact"/>
              <w:jc w:val="right"/>
            </w:pPr>
            <w:r>
              <w:rPr>
                <w:rFonts w:ascii="Times New Roman" w:hAnsi="Times New Roman"/>
                <w:sz w:val="17"/>
              </w:rPr>
              <w:t xml:space="preserve">17+/1-</w:t>
            </w:r>
          </w:p>
        </w:tc>
        <w:tc>
          <w:tcPr>
            <w:tcW w:type="dxa" w:w="1402"/>
          </w:tcPr>
          <w:p>
            <w:pPr>
              <w:pStyle w:val="Compact"/>
              <w:jc w:val="right"/>
            </w:pPr>
            <w:r>
              <w:rPr>
                <w:rFonts w:ascii="Times New Roman" w:hAnsi="Times New Roman"/>
                <w:sz w:val="17"/>
              </w:rPr>
              <w:t xml:space="preserve">9.54</w:t>
            </w:r>
          </w:p>
        </w:tc>
        <w:tc>
          <w:tcPr>
            <w:tcW w:type="dxa" w:w="1402"/>
          </w:tcPr>
          <w:p>
            <w:pPr>
              <w:pStyle w:val="Compact"/>
              <w:jc w:val="right"/>
            </w:pPr>
            <w:r>
              <w:rPr>
                <w:rFonts w:ascii="Times New Roman" w:hAnsi="Times New Roman"/>
                <w:sz w:val="17"/>
              </w:rPr>
              <w:t xml:space="preserve">0.1795</w:t>
            </w:r>
          </w:p>
        </w:tc>
        <w:tc>
          <w:tcPr>
            <w:tcW w:type="dxa" w:w="1752"/>
          </w:tcPr>
          <w:p>
            <w:pPr>
              <w:pStyle w:val="Compact"/>
              <w:jc w:val="left"/>
            </w:pPr>
            <w:r>
              <w:rPr>
                <w:rFonts w:ascii="Times New Roman" w:hAnsi="Times New Roman"/>
                <w:sz w:val="17"/>
              </w:rPr>
              <w:t xml:space="preserve">granulosa, pooled</w:t>
            </w:r>
          </w:p>
        </w:tc>
      </w:tr>
    </w:tbl>
    <w:bookmarkEnd w:id="166"/>
    <w:p>
      <w:pPr>
        <w:pStyle w:val="CaptionedFigure"/>
      </w:pPr>
      <w:r>
        <w:rPr>
          <w:rFonts w:ascii="Times New Roman" w:hAnsi="Times New Roman"/>
        </w:rPr>
        <w:drawing>
          <wp:inline>
            <wp:extent cx="5334000" cy="1717109"/>
            <wp:effectExtent b="0" l="0" r="0" t="0"/>
            <wp:docPr descr="Selection-matched null distributions for the 19 measurable PCOS genes in GSE293353 and the 43 measurable IC genes in the all-PBS urine comparison. The red line is observed agreement. A high raw sign fraction can be ordinary when the selected directions and cohort-wide shift make matching likely. Null draws and seeds are in committed CSV files; the panels summarize failed registered primary tests, not diagnostic performance." title="" id="1" name="Picture"/>
            <a:graphic>
              <a:graphicData uri="http://schemas.openxmlformats.org/drawingml/2006/picture">
                <pic:pic>
                  <pic:nvPicPr>
                    <pic:cNvPr descr="figures/matched_null_failures.png" id="0" name="Picture"/>
                    <pic:cNvPicPr>
                      <a:picLocks noChangeArrowheads="1" noChangeAspect="1"/>
                    </pic:cNvPicPr>
                  </pic:nvPicPr>
                  <pic:blipFill>
                    <a:blip r:embed="rId167"/>
                    <a:stretch>
                      <a:fillRect/>
                    </a:stretch>
                  </pic:blipFill>
                  <pic:spPr bwMode="auto">
                    <a:xfrm>
                      <a:off x="0" y="0"/>
                      <a:ext cx="5334000" cy="1717109"/>
                    </a:xfrm>
                    <a:prstGeom prst="rect">
                      <a:avLst/>
                    </a:prstGeom>
                    <a:noFill/>
                    <a:ln w="9525">
                      <a:noFill/>
                      <a:headEnd/>
                      <a:tailEnd/>
                    </a:ln>
                  </pic:spPr>
                </pic:pic>
              </a:graphicData>
            </a:graphic>
          </wp:inline>
        </w:drawing>
      </w:r>
    </w:p>
    <w:p>
      <w:pPr>
        <w:pStyle w:val="ImageCaption"/>
      </w:pPr>
      <w:r>
        <w:rPr>
          <w:rFonts w:ascii="Times New Roman" w:hAnsi="Times New Roman"/>
        </w:rPr>
        <w:t xml:space="preserve">Selection-matched null distributions for the 19 measurable PCOS genes in GSE293353 and the 43 measurable IC genes in the all-PBS urine comparison. The red line is observed agreement. A high raw sign fraction can be ordinary when the selected directions and cohort-wide shift make matching likely. Null draws and seeds are in committed CSV files; the panels summarize failed registered primary tests, not diagnostic performance.</w:t>
      </w:r>
    </w:p>
    <w:p>
      <w:pPr>
        <w:pStyle w:val="Heading1"/>
      </w:pPr>
      <w:bookmarkStart w:id="168" w:name="a-second-matched-tissue-pcos-null-result"/>
      <w:r>
        <w:rPr>
          <w:rFonts w:ascii="Times New Roman" w:hAnsi="Times New Roman"/>
        </w:rPr>
        <w:t xml:space="preserve">A second matched-tissue PCOS null result</w:t>
      </w:r>
      <w:bookmarkEnd w:id="168"/>
    </w:p>
    <w:p>
      <w:pPr>
        <w:pStyle w:val="FirstParagraph"/>
      </w:pPr>
      <w:r>
        <w:rPr>
          <w:rFonts w:ascii="Times New Roman" w:hAnsi="Times New Roman"/>
        </w:rPr>
        <w:t xml:space="preserve">Before inspecting GSE293353 expression, we froze the original twenty discovery-ranked PCOS signs and the same 10,000-set direction- and discovery-coverage-matched null. The study deposited bulk RNA-seq of follicular granulosa cells from nine patients with PCOS and nine controls (</w:t>
      </w:r>
      <w:hyperlink r:id="rId169">
        <w:r>
          <w:rPr>
            <w:rStyle w:val="Hyperlink"/>
          </w:rPr>
          <w:t xml:space="preserve">https://www.ncbi.nlm.nih.gov/geo/query/acc.cgi?acc=GSE293353</w:t>
        </w:r>
      </w:hyperlink>
      <w:r>
        <w:rPr>
          <w:rFonts w:ascii="Times New Roman" w:hAnsi="Times New Roman"/>
        </w:rPr>
        <w:t xml:space="preserve">). Its clinical sample-information file, GEO titles and count columns form an exact one-to-one name-to-GSM mapping; none of those 18 GSMs overlaps previously processed PCOS samples. The matrix’s Ensembl IDs map through the local HGNC set; three IDs with competing approved symbols are excluded instead of assigned arbitrarily. We apply a per-library CPM transform and keep genes above 1 CPM in at least 20% of libraries before log2(CPM+1) and a case-control standardized mean contrast. Source and SHA-256 checksums, complete sample mapping, and each selected gene’s effect are retained in</w:t>
      </w:r>
      <w:r>
        <w:rPr>
          <w:rFonts w:ascii="Times New Roman" w:hAnsi="Times New Roman"/>
        </w:rPr>
        <w:t xml:space="preserve"> </w:t>
      </w:r>
      <w:r>
        <w:rPr>
          <w:rStyle w:val="VerbatimChar"/>
          <w:rFonts w:ascii="Times New Roman" w:hAnsi="Times New Roman"/>
        </w:rPr>
        <w:t xml:space="preserve">results/pcos_p8*</w:t>
      </w:r>
      <w:r>
        <w:rPr>
          <w:rFonts w:ascii="Times New Roman" w:hAnsi="Times New Roman"/>
        </w:rPr>
        <w:t xml:space="preserve">.</w:t>
      </w:r>
    </w:p>
    <w:p>
      <w:pPr>
        <w:pStyle w:val="BodyText"/>
      </w:pPr>
      <w:r>
        <w:rPr>
          <w:rFonts w:ascii="Times New Roman" w:hAnsi="Times New Roman"/>
        </w:rPr>
        <w:t xml:space="preserve">Nineteen of the frozen twenty genes remain measurable. Sixteen directions agree, which alone seems promising; the matched null expects 15.725 agreements, and its empirical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5.png" id="0" name="Picture"/>
                    <pic:cNvPicPr>
                      <a:picLocks noChangeArrowheads="1" noChangeAspect="1"/>
                    </pic:cNvPicPr>
                  </pic:nvPicPr>
                  <pic:blipFill>
                    <a:blip r:embed="rId151"/>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fails the registered 0.025 threshold. This is a particularly clear example of why a naive half-probability sign test is misleading for a set with eighteen positive and one negative discovery signs in a cohort with strong global directional drift. GSE293353 includes authors’ integrative analyses of other public PCOS data; absent duplicate GSMs prevents direct sample leakage in this test but does not make its literature claims or methods independent of every other GEO study. This result does not undo the small GSE155489 positive; it limits its generality. After seeing the P8 outcomes, an exploratory mean of within-cohort standardized expression signed by the frozen panel yielded AUROC 0.815 and AUPRC 0.857 in these same eighteen samples. A 1,000-draw random-sign baseline had AUROC mean 0.504 and empirical</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13.png" id="0" name="Picture"/>
                    <pic:cNvPicPr>
                      <a:picLocks noChangeArrowheads="1" noChangeAspect="1"/>
                    </pic:cNvPicPr>
                  </pic:nvPicPr>
                  <pic:blipFill>
                    <a:blip r:embed="rId170"/>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Neither metric was registered as P8’s primary outcome, and normalizing on all P8 samples uses the evaluation distribution itself. This is not a clinical score or published head-to-head benchmark. A patient-level assay requires predeclared gene-level measurement, a locked classifier threshold and external clinical validation, not a sign fraction alone.</w:t>
      </w:r>
    </w:p>
    <w:p>
      <w:pPr>
        <w:pStyle w:val="Heading1"/>
      </w:pPr>
      <w:bookmarkStart w:id="171" w:name="Xc46eb72c85bd5f2f17867422be5299bccc2064a"/>
      <w:r>
        <w:rPr>
          <w:rFonts w:ascii="Times New Roman" w:hAnsi="Times New Roman"/>
        </w:rPr>
        <w:t xml:space="preserve">Interstitial cystitis: a registered cross-tissue stress test</w:t>
      </w:r>
      <w:bookmarkEnd w:id="171"/>
    </w:p>
    <w:p>
      <w:pPr>
        <w:pStyle w:val="FirstParagraph"/>
      </w:pPr>
      <w:r>
        <w:rPr>
          <w:rFonts w:ascii="Times New Roman" w:hAnsi="Times New Roman"/>
        </w:rPr>
        <w:t xml:space="preserve">The original top-50 signature passed in only seven labeled GSE57560 bladder-tissue libraries. To test whether it traveled beyond that small setting, we froze the discovery ranking and sign before inspecting the GSE28242 matrix. The historical GSE28242 urine-sediment series provides five normal controls, five PBS patients without lesions, and three with Hunner lesions. No GSM overlaps the split cohorts. The exact label audit, gene-level effects, and stratum summary are in three</w:t>
      </w:r>
      <w:r>
        <w:rPr>
          <w:rFonts w:ascii="Times New Roman" w:hAnsi="Times New Roman"/>
        </w:rPr>
        <w:t xml:space="preserve"> </w:t>
      </w:r>
      <w:r>
        <w:rPr>
          <w:rStyle w:val="VerbatimChar"/>
          <w:rFonts w:ascii="Times New Roman" w:hAnsi="Times New Roman"/>
        </w:rPr>
        <w:t xml:space="preserve">results/ic_urine_p7*</w:t>
      </w:r>
      <w:r>
        <w:rPr>
          <w:rFonts w:ascii="Times New Roman" w:hAnsi="Times New Roman"/>
        </w:rPr>
        <w:t xml:space="preserve"> </w:t>
      </w:r>
      <w:r>
        <w:rPr>
          <w:rFonts w:ascii="Times New Roman" w:hAnsi="Times New Roman"/>
        </w:rPr>
        <w:t xml:space="preserve">files. The GPL6244 probe map yields 43 of the fixed 50 measurable genes. We compare sign agreement against 10,000 random sets from measured, unselected genes while preserving the selected set’s numbers of positive and negative discovery signs; each stratum uses the same frozen ranking and seed.</w:t>
      </w:r>
    </w:p>
    <w:p>
      <w:pPr>
        <w:pStyle w:val="BodyText"/>
      </w:pPr>
      <w:r>
        <w:rPr>
          <w:rFonts w:ascii="Times New Roman" w:hAnsi="Times New Roman"/>
        </w:rPr>
        <w:t xml:space="preserve">In the primary all-PBS contrast, 22 of 43 signs match, versus null mean 0.528, empirical</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14.png" id="0" name="Picture"/>
                    <pic:cNvPicPr>
                      <a:picLocks noChangeArrowheads="1" noChangeAspect="1"/>
                    </pic:cNvPicPr>
                  </pic:nvPicPr>
                  <pic:blipFill>
                    <a:blip r:embed="rId172"/>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The lesion-free subgroup has 15 of 43 matching,</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15.png" id="0" name="Picture"/>
                    <pic:cNvPicPr>
                      <a:picLocks noChangeArrowheads="1" noChangeAspect="1"/>
                    </pic:cNvPicPr>
                  </pic:nvPicPr>
                  <pic:blipFill>
                    <a:blip r:embed="rId17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The three Hunner-lesion cases, contrasted with the same five controls, show 40 of 43 matching,</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16.png" id="0" name="Picture"/>
                    <pic:cNvPicPr>
                      <a:picLocks noChangeArrowheads="1" noChangeAspect="1"/>
                    </pic:cNvPicPr>
                  </pic:nvPicPr>
                  <pic:blipFill>
                    <a:blip r:embed="rId174"/>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(the minimum resolution of this permutation test). These strata have shared controls and were not separate untouched confirmatory cohorts: the lesion-specific outcome cannot be selected after seeing the primary failure to claim an all-IC diagnostic signature. An exploratory exact permutation assigns three of the eight PBS patient labels to the lesion group in all</w:t>
      </w:r>
      <w:r>
        <w:rPr>
          <w:rFonts w:ascii="Times New Roman" w:hAnsi="Times New Roman"/>
        </w:rPr>
        <w:t xml:space="preserve"> </w:t>
      </w:r>
      <w:r>
        <w:rPr>
          <w:rFonts w:ascii="Times New Roman" w:hAnsi="Times New Roman"/>
        </w:rPr>
        <w:drawing>
          <wp:inline>
            <wp:extent cx="461009" cy="152297"/>
            <wp:effectExtent b="0" l="0" r="0" t="0"/>
            <wp:docPr descr="image" title="" id="1" name="Picture"/>
            <a:graphic>
              <a:graphicData uri="http://schemas.openxmlformats.org/drawingml/2006/picture">
                <pic:pic>
                  <pic:nvPicPr>
                    <pic:cNvPr descr="equations/in117.png" id="0" name="Picture"/>
                    <pic:cNvPicPr>
                      <a:picLocks noChangeArrowheads="1" noChangeAspect="1"/>
                    </pic:cNvPicPr>
                  </pic:nvPicPr>
                  <pic:blipFill>
                    <a:blip r:embed="rId175"/>
                    <a:stretch>
                      <a:fillRect/>
                    </a:stretch>
                  </pic:blipFill>
                  <pic:spPr bwMode="auto">
                    <a:xfrm>
                      <a:off x="0" y="0"/>
                      <a:ext cx="461009" cy="15229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possible ways, keeping the five controls fixed. The observed difference in sign-concordance fractions (lesion minus non-lesion) is 0.5814; two of 56 partitions are at least as large, yielding one-sided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18.png" id="0" name="Picture"/>
                    <pic:cNvPicPr>
                      <a:picLocks noChangeArrowheads="1" noChangeAspect="1"/>
                    </pic:cNvPicPr>
                  </pic:nvPicPr>
                  <pic:blipFill>
                    <a:blip r:embed="rId176"/>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This tests a subtype contrast under conditional exchangeability, not an independent cohort, and was devised after seeing P7. Forty-three concordant gene directions are not 43 independent patient observations. A physical-STRING graph check finds just one edge among the 35 selected IC genes represented in that graph; this does not support a claim that the panel forms a tightly connected physical-interaction module, nor does it prove statistical independence of expression effects. The split is consistent with the GSE28242 authors’ published conclusion that the urine-sediment inflammatory signature was evident with Hunner lesions, not lesion-free disease (Blalock et al., 2012; DOI</w:t>
      </w:r>
      <w:r>
        <w:rPr>
          <w:rFonts w:ascii="Times New Roman" w:hAnsi="Times New Roman"/>
        </w:rPr>
        <w:t xml:space="preserve"> </w:t>
      </w:r>
      <w:hyperlink r:id="rId177">
        <w:r>
          <w:rPr>
            <w:rStyle w:val="Hyperlink"/>
          </w:rPr>
          <w:t xml:space="preserve">https://doi.org/10.1016/j.juro.2011.09.142</w:t>
        </w:r>
      </w:hyperlink>
      <w:r>
        <w:rPr>
          <w:rFonts w:ascii="Times New Roman" w:hAnsi="Times New Roman"/>
        </w:rPr>
        <w:t xml:space="preserve">; data</w:t>
      </w:r>
      <w:r>
        <w:rPr>
          <w:rFonts w:ascii="Times New Roman" w:hAnsi="Times New Roman"/>
        </w:rPr>
        <w:t xml:space="preserve"> </w:t>
      </w:r>
      <w:hyperlink r:id="rId178">
        <w:r>
          <w:rPr>
            <w:rStyle w:val="Hyperlink"/>
          </w:rPr>
          <w:t xml:space="preserve">https://www.ncbi.nlm.nih.gov/geo/query/acc.cgi?acc=GSE28242</w:t>
        </w:r>
      </w:hyperlink>
      <w:r>
        <w:rPr>
          <w:rFonts w:ascii="Times New Roman" w:hAnsi="Times New Roman"/>
        </w:rPr>
        <w:t xml:space="preserve">). An independent, adequately sized pre-registered lesion-stratified study would test whether the fixed panel transports. Here it is a mechanistic and phenotype-boundary observation, not a new molecular discovery or a diagnosis-grade performance estimate.</w:t>
      </w:r>
    </w:p>
    <w:p>
      <w:pPr>
        <w:pStyle w:val="Heading1"/>
      </w:pPr>
      <w:bookmarkStart w:id="179" w:name="position-against-published-work"/>
      <w:r>
        <w:rPr>
          <w:rFonts w:ascii="Times New Roman" w:hAnsi="Times New Roman"/>
        </w:rPr>
        <w:t xml:space="preserve">Position against published work</w:t>
      </w:r>
      <w:bookmarkEnd w:id="179"/>
    </w:p>
    <w:p>
      <w:pPr>
        <w:pStyle w:val="FirstParagraph"/>
      </w:pPr>
      <w:r>
        <w:rPr>
          <w:rFonts w:ascii="Times New Roman" w:hAnsi="Times New Roman"/>
        </w:rPr>
        <w:t xml:space="preserve">A 2025 IC/BPS analysis pooled GSE11783, GSE28242, and GSE57560 across platforms, reported PLAC8, S100A8, and PPBP as candidate markers, and included an 8-case/10-control tissue check (</w:t>
      </w:r>
      <w:hyperlink r:id="rId180">
        <w:r>
          <w:rPr>
            <w:rStyle w:val="Hyperlink"/>
          </w:rPr>
          <w:t xml:space="preserve">https://www.frontiersin.org/journals/immunology/articles/10.3389/fimmu.2025.1511529/full</w:t>
        </w:r>
      </w:hyperlink>
      <w:r>
        <w:rPr>
          <w:rFonts w:ascii="Times New Roman" w:hAnsi="Times New Roman"/>
        </w:rPr>
        <w:t xml:space="preserve">). Because it used our original discovery, validation, and new stress-test series, its reported single-gene ROC estimates (0.887, 0.818, 0.871) are not an independent matched benchmark for our cross-tissue 50-gene sign outcome. Its bladder tissue case selection and pooled batch correction also differ from our study-level holdout. This overlap sharply limits any claim that the observed Hunner-lesion split is new.</w:t>
      </w:r>
    </w:p>
    <w:p>
      <w:pPr>
        <w:pStyle w:val="BodyText"/>
      </w:pPr>
      <w:r>
        <w:rPr>
          <w:rFonts w:ascii="Times New Roman" w:hAnsi="Times New Roman"/>
        </w:rPr>
        <w:t xml:space="preserve">The purpose of a literature comparison is to define what our evidence can and cannot establish, not to import an unrelated accuracy number. A recent postpartum-expression study deposited GSE290313 and analyzed transcript abundance at pregnancy and postpartum timepoints separately, with additional medication-related exclusions. Its own stratification shows why a pooled perinatal-depression contrast may not transfer to a postpartum-only cohort. GSE290313 already appears in the locked validation addendum as postpartum and predictive pregnancy subsets. A later stricter no-SSRI postpartum subset is a sensitivity reanalysis of the same study, not fresh independent evidence. The overlap was detected before testing its reprocessed expression results. Source:</w:t>
      </w:r>
      <w:r>
        <w:rPr>
          <w:rFonts w:ascii="Times New Roman" w:hAnsi="Times New Roman"/>
        </w:rPr>
        <w:t xml:space="preserve"> </w:t>
      </w:r>
      <w:hyperlink r:id="rId181">
        <w:r>
          <w:rPr>
            <w:rStyle w:val="Hyperlink"/>
          </w:rPr>
          <w:t xml:space="preserve">https://www.nature.com/articles/s41380-025-03068-z</w:t>
        </w:r>
      </w:hyperlink>
      <w:r>
        <w:rPr>
          <w:rFonts w:ascii="Times New Roman" w:hAnsi="Times New Roman"/>
        </w:rPr>
        <w:t xml:space="preserve"> </w:t>
      </w:r>
      <w:r>
        <w:rPr>
          <w:rFonts w:ascii="Times New Roman" w:hAnsi="Times New Roman"/>
        </w:rPr>
        <w:t xml:space="preserve">and its GEO accession GSE290313. We must not silently assign the same patient across pregnancy and postpartum to separate model folds.</w:t>
      </w:r>
    </w:p>
    <w:p>
      <w:pPr>
        <w:pStyle w:val="BodyText"/>
      </w:pPr>
      <w:r>
        <w:rPr>
          <w:rFonts w:ascii="Times New Roman" w:hAnsi="Times New Roman"/>
        </w:rPr>
        <w:t xml:space="preserve">A newly deposited PRIDE study, PXD080843 (14 September 2026), describes a prospective 64-person first-trimester serum proteomic case-control cohort (32 future preeclampsia cases, 32 controls) and targeted follow-up; its protein-level prognosis endpoint is not numerically comparable to our placental/blood expression gene-recovery ranking (</w:t>
      </w:r>
      <w:hyperlink r:id="rId182">
        <w:r>
          <w:rPr>
            <w:rStyle w:val="Hyperlink"/>
          </w:rPr>
          <w:t xml:space="preserve">https://www.ebi.ac.uk/pride/ws/archive/v3/projects/PXD080843</w:t>
        </w:r>
      </w:hyperlink>
      <w:r>
        <w:rPr>
          <w:rFonts w:ascii="Times New Roman" w:hAnsi="Times New Roman"/>
        </w:rPr>
        <w:t xml:space="preserve">). Two published preeclampsia placental meta-analyses compare normal and affected placenta from multiple studies (</w:t>
      </w:r>
      <w:hyperlink r:id="rId183">
        <w:r>
          <w:rPr>
            <w:rStyle w:val="Hyperlink"/>
          </w:rPr>
          <w:t xml:space="preserve">https://journals.plos.org/plosone/article?id=10.1371/journal.pone.0161504</w:t>
        </w:r>
      </w:hyperlink>
      <w:r>
        <w:rPr>
          <w:rFonts w:ascii="Times New Roman" w:hAnsi="Times New Roman"/>
        </w:rPr>
        <w:t xml:space="preserve">;</w:t>
      </w:r>
      <w:r>
        <w:rPr>
          <w:rFonts w:ascii="Times New Roman" w:hAnsi="Times New Roman"/>
        </w:rPr>
        <w:t xml:space="preserve"> </w:t>
      </w:r>
      <w:hyperlink r:id="rId184">
        <w:r>
          <w:rPr>
            <w:rStyle w:val="Hyperlink"/>
          </w:rPr>
          <w:t xml:space="preserve">https://journals.plos.org/plosone/article?id=10.1371/journal.pone.0068991</w:t>
        </w:r>
      </w:hyperlink>
      <w:r>
        <w:rPr>
          <w:rFonts w:ascii="Times New Roman" w:hAnsi="Times New Roman"/>
        </w:rPr>
        <w:t xml:space="preserve">). These are relevant biological context but their inclusion rules, populations, gene mappings and outcomes must be reconciled before any numerical benchmark comparison. Our four-cohort ST3GAL2 test deliberately includes blood and villus sensitivity, so its all-cohort value cannot be read as a replication of a placenta-only meta-analysis.</w:t>
      </w:r>
    </w:p>
    <w:p>
      <w:pPr>
        <w:pStyle w:val="BodyText"/>
      </w:pPr>
      <w:r>
        <w:rPr>
          <w:rFonts w:ascii="Times New Roman" w:hAnsi="Times New Roman"/>
        </w:rPr>
        <w:t xml:space="preserve">A relevant MetaboLights entry MTBLS12367 describes LC-MS profiling of human PCOS granulosa cells in a study of glutamine transport and androgen excess; its metabolite readout is distinct from our fixed 20-gene RNA sign panel and offers context, not replication (</w:t>
      </w:r>
      <w:hyperlink r:id="rId185">
        <w:r>
          <w:rPr>
            <w:rStyle w:val="Hyperlink"/>
          </w:rPr>
          <w:t xml:space="preserve">https://www.ebi.ac.uk/metabolights/ws/studies/MTBLS12367</w:t>
        </w:r>
      </w:hyperlink>
      <w:r>
        <w:rPr>
          <w:rFonts w:ascii="Times New Roman" w:hAnsi="Times New Roman"/>
        </w:rPr>
        <w:t xml:space="preserve">). A PCOS study published in January 2026 combined bulk and single-cell transcriptomics and reported a three-gene HLA-DRA/SRM/CTSL signature, with additional qPCR and western-blot checks in clinical samples (</w:t>
      </w:r>
      <w:hyperlink r:id="rId186">
        <w:r>
          <w:rPr>
            <w:rStyle w:val="Hyperlink"/>
          </w:rPr>
          <w:t xml:space="preserve">https://link.springer.com/article/10.1186/s13048-025-01956-0</w:t>
        </w:r>
      </w:hyperlink>
      <w:r>
        <w:rPr>
          <w:rFonts w:ascii="Times New Roman" w:hAnsi="Times New Roman"/>
        </w:rPr>
        <w:t xml:space="preserve">). Its published signature and sample-level endpoint are different from our discovery-derived 20-gene directional sign test. Neither one small positive cumulus cohort nor the failure in a pooled ovarian granulosa cohort directly reproduces that published panel. A 2026 peripheral-blood PPD-versus-healthy postpartum case/control study reported 11 cases and 16 postpartum controls with 20 non-postpartum major depression comparators, but noted imbalance in postpartum duration and used nominal rather than multiplicity-adjusted p values for its 289 reported differential genes (</w:t>
      </w:r>
      <w:hyperlink r:id="rId187">
        <w:r>
          <w:rPr>
            <w:rStyle w:val="Hyperlink"/>
          </w:rPr>
          <w:t xml:space="preserve">https://pmc.ncbi.nlm.nih.gov/articles/PMC13590264/</w:t>
        </w:r>
      </w:hyperlink>
      <w:r>
        <w:rPr>
          <w:rFonts w:ascii="Times New Roman" w:hAnsi="Times New Roman"/>
        </w:rPr>
        <w:t xml:space="preserve">). The paper lists BioProject PRJNA1456230 as the raw-data source; at this retrieval, the public ENA read-run query and NCBI BioProject accession search returned no record, so we cannot count, analyze, or claim external validation from those data. The article offers phenotype and publication context only. KG-Bench’s temporal drug-disease link prediction used a relational graph and reports AUC 0.908; our disease-specific held-out gene-label ranking uses a different unit, label and split. The proper comparison would rerun our models on its exact data, task and split (or published baselines on ours) under the same evaluation metric. None of that head-to-head work has been completed.</w:t>
      </w:r>
    </w:p>
    <w:p>
      <w:pPr>
        <w:pStyle w:val="Heading1"/>
      </w:pPr>
      <w:bookmarkStart w:id="188" w:name="Xdf7d630555786fdf7ca30b55114d90bad4d9e0a"/>
      <w:r>
        <w:rPr>
          <w:rFonts w:ascii="Times New Roman" w:hAnsi="Times New Roman"/>
        </w:rPr>
        <w:t xml:space="preserve">Published postpartum-depression genes against existing cohorts</w:t>
      </w:r>
      <w:bookmarkEnd w:id="188"/>
    </w:p>
    <w:p>
      <w:pPr>
        <w:pStyle w:val="FirstParagraph"/>
      </w:pPr>
      <w:r>
        <w:rPr>
          <w:rFonts w:ascii="Times New Roman" w:hAnsi="Times New Roman"/>
        </w:rPr>
        <w:t xml:space="preserve">The newly published peripheral-blood study nominated FOLR3 down-regulation alongside TNNT1 and MMP1 as differential genes for postpartum depression versus healthy postpartum controls (</w:t>
      </w:r>
      <w:hyperlink r:id="rId187">
        <w:r>
          <w:rPr>
            <w:rStyle w:val="Hyperlink"/>
          </w:rPr>
          <w:t xml:space="preserve">https://pmc.ncbi.nlm.nih.gov/articles/PMC13590264/</w:t>
        </w:r>
      </w:hyperlink>
      <w:r>
        <w:rPr>
          <w:rFonts w:ascii="Times New Roman" w:hAnsi="Times New Roman"/>
        </w:rPr>
        <w:t xml:space="preserve">). A descriptive lookup in the project’s already used cohorts finds FOLR3 measured in both GSE45603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19.png" id="0" name="Picture"/>
                    <pic:cNvPicPr>
                      <a:picLocks noChangeArrowheads="1" noChangeAspect="1"/>
                    </pic:cNvPicPr>
                  </pic:nvPicPr>
                  <pic:blipFill>
                    <a:blip r:embed="rId189"/>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SE 0.306) and GSE290313 postpartum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21.png" id="0" name="Picture"/>
                    <pic:cNvPicPr>
                      <a:picLocks noChangeArrowheads="1" noChangeAspect="1"/>
                    </pic:cNvPicPr>
                  </pic:nvPicPr>
                  <pic:blipFill>
                    <a:blip r:embed="rId19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SE 0.148), both in the reported direction but close to zero. TNNT1 appears only in the latter at</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23.png" id="0" name="Picture"/>
                    <pic:cNvPicPr>
                      <a:picLocks noChangeArrowheads="1" noChangeAspect="1"/>
                    </pic:cNvPicPr>
                  </pic:nvPicPr>
                  <pic:blipFill>
                    <a:blip r:embed="rId19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SE 0.148; MMP1 is absent from both processed gene-level result tables. The result table records absent genes as unmeasured rather than assigning them an expression value. No such weak descriptive agreement establishes a diagnostic marker. GSE290313 is already in the locked validation addendum, not a new independent P6 study. The published 2026 cohort’s raw data were listed under BioProject PRJNA1456230, but contemporaneous public BioProject and ENA run queries did not resolve it; we did not use a reviewer-only link or treat a paper’s availability claim as an accessible dataset. When an authenticated public matrix becomes available, it would need a registered phenotype and held-out analysis rather than a retrospective best-gene comparison.</w:t>
      </w:r>
    </w:p>
    <w:p>
      <w:pPr>
        <w:pStyle w:val="Heading1"/>
      </w:pPr>
      <w:bookmarkStart w:id="192" w:name="X94ff7e205e88ffe9849b41d7e2211ef16ba5060"/>
      <w:r>
        <w:rPr>
          <w:rFonts w:ascii="Times New Roman" w:hAnsi="Times New Roman"/>
        </w:rPr>
        <w:t xml:space="preserve">Fibromyalgia second blood cohort: a frozen direction-panel failure</w:t>
      </w:r>
      <w:bookmarkEnd w:id="192"/>
    </w:p>
    <w:p>
      <w:pPr>
        <w:pStyle w:val="FirstParagraph"/>
      </w:pPr>
      <w:r>
        <w:rPr>
          <w:rFonts w:ascii="Times New Roman" w:hAnsi="Times New Roman"/>
        </w:rPr>
        <w:t xml:space="preserve">An additional 2024 whole-blood RNA-seq deposit, GSE221921, contains 96 fibromyalgia cases and 93 healthy controls, each represented by a unique GEO title, GSM, BioSample, and SRA identifier (</w:t>
      </w:r>
      <w:hyperlink r:id="rId193">
        <w:r>
          <w:rPr>
            <w:rStyle w:val="Hyperlink"/>
          </w:rPr>
          <w:t xml:space="preserve">https://www.ncbi.nlm.nih.gov/geo/query/acc.cgi?acc=GSE221921</w:t>
        </w:r>
      </w:hyperlink>
      <w:r>
        <w:rPr>
          <w:rFonts w:ascii="Times New Roman" w:hAnsi="Times New Roman"/>
        </w:rPr>
        <w:t xml:space="preserve">; publication DOI</w:t>
      </w:r>
      <w:r>
        <w:rPr>
          <w:rFonts w:ascii="Times New Roman" w:hAnsi="Times New Roman"/>
        </w:rPr>
        <w:t xml:space="preserve"> </w:t>
      </w:r>
      <w:hyperlink r:id="rId194">
        <w:r>
          <w:rPr>
            <w:rStyle w:val="Hyperlink"/>
          </w:rPr>
          <w:t xml:space="preserve">https://doi.org/10.1038/s41598-024-53874-8</w:t>
        </w:r>
      </w:hyperlink>
      <w:r>
        <w:rPr>
          <w:rFonts w:ascii="Times New Roman" w:hAnsi="Times New Roman"/>
        </w:rPr>
        <w:t xml:space="preserve">). Unlike the later isolated-neutrophil/LPS deposit GSE334369, its blood collection is more directly comparable in tissue name to our single 2015 GSE67311 discovery series, though assay and blood-cell proportions can differ. The 2024 authors already published expression signatures; a transport result here cannot establish novel fibromyalgia biology. We froze the eight GSE67311 BH-</w:t>
      </w:r>
      <w:r>
        <w:rPr>
          <w:rFonts w:ascii="Times New Roman" w:hAnsi="Times New Roman"/>
        </w:rPr>
        <w:drawing>
          <wp:inline>
            <wp:extent cx="454659" cy="101486"/>
            <wp:effectExtent b="0" l="0" r="0" t="0"/>
            <wp:docPr descr="image" title="" id="1" name="Picture"/>
            <a:graphic>
              <a:graphicData uri="http://schemas.openxmlformats.org/drawingml/2006/picture">
                <pic:pic>
                  <pic:nvPicPr>
                    <pic:cNvPr descr="equations/in036.png" id="0" name="Picture"/>
                    <pic:cNvPicPr>
                      <a:picLocks noChangeArrowheads="1" noChangeAspect="1"/>
                    </pic:cNvPicPr>
                  </pic:nvPicPr>
                  <pic:blipFill>
                    <a:blip r:embed="rId74"/>
                    <a:stretch>
                      <a:fillRect/>
                    </a:stretch>
                  </pic:blipFill>
                  <pic:spPr bwMode="auto">
                    <a:xfrm>
                      <a:off x="0" y="0"/>
                      <a:ext cx="454659" cy="10148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genes and their DOWN directions before opening this deposit’s target expression files. This is a newly specified study-held-out test, not a historical preregistration of a gene before its discovery study.</w:t>
      </w:r>
    </w:p>
    <w:p>
      <w:pPr>
        <w:pStyle w:val="BodyText"/>
      </w:pPr>
      <w:r>
        <w:rPr>
          <w:rFonts w:ascii="Times New Roman" w:hAnsi="Times New Roman"/>
        </w:rPr>
        <w:t xml:space="preserve">All 189 processed per-GSM files matched their GEO titles; the files have 21,915 gene rows and appear to contain already transformed nonnegative abundance, despite a source note describing TPM/TMM. We did not transform them a second time. Forty-eight duplicated gene symbols occupy 588 rows; an advance-written rule excluded them rather than choosing arbitrary rows, leaving 21,327 unique symbols. UQCC3 was not measured uniquely. The seven measurable fixed genes all reversed direction: CPA3</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24.png" id="0" name="Picture"/>
                    <pic:cNvPicPr>
                      <a:picLocks noChangeArrowheads="1" noChangeAspect="1"/>
                    </pic:cNvPicPr>
                  </pic:nvPicPr>
                  <pic:blipFill>
                    <a:blip r:embed="rId19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GCSAML +0.625, MS4A2 +0.684, FCER1A +0.521, ITGB8 +0.692, HDC +0.234, GATA2 +0.097, using 96 case and 93 control records. Five UP effects have nominal two-sided Welch</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131.png" id="0" name="Picture"/>
                    <pic:cNvPicPr>
                      <a:picLocks noChangeArrowheads="1" noChangeAspect="1"/>
                    </pic:cNvPicPr>
                  </pic:nvPicPr>
                  <pic:blipFill>
                    <a:blip r:embed="rId196"/>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none supports the registered DOWN prediction. The observed DOWN count is 0/7 and a limited same-discovery-direction/unique-row-coverage 10,000-gene-set reference gives</w:t>
      </w:r>
      <w:r>
        <w:rPr>
          <w:rFonts w:ascii="Times New Roman" w:hAnsi="Times New Roman"/>
        </w:rPr>
        <w:t xml:space="preserve"> </w:t>
      </w:r>
      <w:r>
        <w:rPr>
          <w:rFonts w:ascii="Times New Roman" w:hAnsi="Times New Roman"/>
        </w:rPr>
        <w:drawing>
          <wp:inline>
            <wp:extent cx="393700" cy="102526"/>
            <wp:effectExtent b="0" l="0" r="0" t="0"/>
            <wp:docPr descr="image" title="" id="1" name="Picture"/>
            <a:graphic>
              <a:graphicData uri="http://schemas.openxmlformats.org/drawingml/2006/picture">
                <pic:pic>
                  <pic:nvPicPr>
                    <pic:cNvPr descr="equations/in133.png" id="0" name="Picture"/>
                    <pic:cNvPicPr>
                      <a:picLocks noChangeArrowheads="1" noChangeAspect="1"/>
                    </pic:cNvPicPr>
                  </pic:nvPicPr>
                  <pic:blipFill>
                    <a:blip r:embed="rId197"/>
                    <a:stretch>
                      <a:fillRect/>
                    </a:stretch>
                  </pic:blipFill>
                  <pic:spPr bwMode="auto">
                    <a:xfrm>
                      <a:off x="0" y="0"/>
                      <a:ext cx="393700" cy="10252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for at least as many down signs. This reference does not match expression variance or cell-composition effects. Thus the frozen direction panel fails rather than revealing a reversed biomarker.</w:t>
      </w:r>
    </w:p>
    <w:p>
      <w:pPr>
        <w:pStyle w:val="BodyText"/>
      </w:pPr>
      <w:r>
        <w:rPr>
          <w:rFonts w:ascii="Times New Roman" w:hAnsi="Times New Roman"/>
        </w:rPr>
        <w:t xml:space="preserve">GEO metadata expose a severe sex imbalance: 91/96 FM records versus 41/93 controls are female. A post-outcome female-only 91/41 sensitivity still gives UP signs for all seven measured targets, with effects +0.334,+0.623,+0.581,+0.509,+0.628,+0.299,+0.106 in the same gene order. A descriptive HC3 regression on disease and sex retains positive FM coefficients for six and nearly zero for GATA2. Neither post-outcome sensitivity adjusts unknown cell composition, collection, technology or other confounding, and it cannot replace the failed fixed panel. The published 2024 cohort already reports transcriptomic subgroups; no clinical or novel-gene claim follows. The 189 GSM accessions are individual used records in one GSE, not 189 independent studies.</w:t>
      </w:r>
    </w:p>
    <w:p>
      <w:pPr>
        <w:pStyle w:val="BodyText"/>
      </w:pPr>
      <w:r>
        <w:rPr>
          <w:rFonts w:ascii="Times New Roman" w:hAnsi="Times New Roman"/>
        </w:rPr>
        <w:drawing>
          <wp:inline>
            <wp:extent cx="5334000" cy="3088105"/>
            <wp:effectExtent b="0" l="0" r="0" t="0"/>
            <wp:docPr descr="image" title="" id="1" name="Picture"/>
            <a:graphic>
              <a:graphicData uri="http://schemas.openxmlformats.org/drawingml/2006/picture">
                <pic:pic>
                  <pic:nvPicPr>
                    <pic:cNvPr descr="figures/fibromyalgia_p16_effects.png" id="0" name="Picture"/>
                    <pic:cNvPicPr>
                      <a:picLocks noChangeArrowheads="1" noChangeAspect="1"/>
                    </pic:cNvPicPr>
                  </pic:nvPicPr>
                  <pic:blipFill>
                    <a:blip r:embed="rId198"/>
                    <a:stretch>
                      <a:fillRect/>
                    </a:stretch>
                  </pic:blipFill>
                  <pic:spPr bwMode="auto">
                    <a:xfrm>
                      <a:off x="0" y="0"/>
                      <a:ext cx="5334000" cy="3088105"/>
                    </a:xfrm>
                    <a:prstGeom prst="rect">
                      <a:avLst/>
                    </a:prstGeom>
                    <a:noFill/>
                    <a:ln w="9525">
                      <a:noFill/>
                      <a:headEnd/>
                      <a:tailEnd/>
                    </a:ln>
                  </pic:spPr>
                </pic:pic>
              </a:graphicData>
            </a:graphic>
          </wp:inline>
        </w:drawing>
      </w:r>
    </w:p>
    <w:p>
      <w:pPr>
        <w:pStyle w:val="BodyText"/>
      </w:pPr>
      <w:r>
        <w:rPr>
          <w:rFonts w:ascii="Times New Roman" w:hAnsi="Times New Roman"/>
          <w:b/>
        </w:rPr>
        <w:t xml:space="preserve">Figure :</w:t>
      </w:r>
      <w:r>
        <w:rPr>
          <w:rFonts w:ascii="Times New Roman" w:hAnsi="Times New Roman"/>
        </w:rPr>
        <w:t xml:space="preserve"> </w:t>
      </w:r>
      <w:r>
        <w:rPr>
          <w:rFonts w:ascii="Times New Roman" w:hAnsi="Times New Roman"/>
        </w:rPr>
        <w:t xml:space="preserve">Frozen GSE67311 fibromyalgia DOWN candidates in GSE221921. All seven uniquely measured genes reverse UP. Teal dots and normal-reference intervals show full-cohort Hedges effects; orange diamonds are post-outcome female-only effects. This sensitivity is descriptive, not a new cohort or an opposite-direction biomarker claim. UQCC3 is absent from the unique gene map.</w:t>
      </w:r>
    </w:p>
    <w:p>
      <w:pPr>
        <w:pStyle w:val="BodyText"/>
      </w:pPr>
      <w:r>
        <w:rPr>
          <w:rFonts w:ascii="Times New Roman" w:hAnsi="Times New Roman"/>
        </w:rPr>
        <w:t xml:space="preserve">The complete P16 sample mapping, effect and sensitivity results are in the repository.</w:t>
      </w:r>
    </w:p>
    <w:p>
      <w:pPr>
        <w:pStyle w:val="Heading1"/>
      </w:pPr>
      <w:bookmarkStart w:id="199" w:name="Xbc5cbe39b1fb23ca8f4b39dc86d07bfae2413ec"/>
      <w:r>
        <w:rPr>
          <w:rFonts w:ascii="Times New Roman" w:hAnsi="Times New Roman"/>
        </w:rPr>
        <w:t xml:space="preserve">Endometriosis eutopic tissue: a registered panel failure</w:t>
      </w:r>
      <w:bookmarkEnd w:id="199"/>
    </w:p>
    <w:p>
      <w:pPr>
        <w:pStyle w:val="FirstParagraph"/>
      </w:pPr>
      <w:r>
        <w:rPr>
          <w:rFonts w:ascii="Times New Roman" w:hAnsi="Times New Roman"/>
        </w:rPr>
        <w:t xml:space="preserve">After a format-only peek at the count header and first two gene rows, but before calculating cohort-wide effects or inspecting the frozen genes, we fixed twenty discovery-ranked endometriosis genes: seventeen UP and three DOWN. The GEO deposit contains six control eutopic specimens, seven affected-donor eutopic specimens, and seven ectopic specimens (</w:t>
      </w:r>
      <w:hyperlink r:id="rId200">
        <w:r>
          <w:rPr>
            <w:rStyle w:val="Hyperlink"/>
          </w:rPr>
          <w:t xml:space="preserve">https://www.ncbi.nlm.nih.gov/geo/query/acc.cgi?acc=GSE212787</w:t>
        </w:r>
      </w:hyperlink>
      <w:r>
        <w:rPr>
          <w:rFonts w:ascii="Times New Roman" w:hAnsi="Times New Roman"/>
        </w:rPr>
        <w:t xml:space="preserve">). Its published multi-omics analysis is at</w:t>
      </w:r>
      <w:r>
        <w:rPr>
          <w:rFonts w:ascii="Times New Roman" w:hAnsi="Times New Roman"/>
        </w:rPr>
        <w:t xml:space="preserve"> </w:t>
      </w:r>
      <w:hyperlink r:id="rId201">
        <w:r>
          <w:rPr>
            <w:rStyle w:val="Hyperlink"/>
          </w:rPr>
          <w:t xml:space="preserve">https://doi.org/10.1186/s12967-024-05245-0</w:t>
        </w:r>
      </w:hyperlink>
      <w:r>
        <w:rPr>
          <w:rFonts w:ascii="Times New Roman" w:hAnsi="Times New Roman"/>
        </w:rPr>
        <w:t xml:space="preserve">. We matched all twenty count column tokens to exact GEO GSM records and sample titles, then used only one primary eutopic count column per each of thirteen distinct donor IDs. Ectopic records from seven affected donors were excluded rather than counted as another validation group; three have paired eutopic and ectopic tissue. The published article describes cohort-one transcriptomic profiling as six control, six eutopic and ten ectopic specimens, whereas the public count matrix maps to six, seven and seven GEO sample records; we cannot reconcile this discrepancy to the published analysis and do not claim a like-for-like published benchmark. An important mapping detail is that a depositor’s count token such as NC5P maps to GEO</w:t>
      </w:r>
      <w:r>
        <w:rPr>
          <w:rFonts w:ascii="Times New Roman" w:hAnsi="Times New Roman"/>
        </w:rPr>
        <w:t xml:space="preserve"> </w:t>
      </w:r>
      <w:r>
        <w:rPr>
          <w:rFonts w:ascii="Times New Roman" w:hAnsi="Times New Roman"/>
        </w:rPr>
        <w:t xml:space="preserve">“</w:t>
      </w:r>
      <w:r>
        <w:rPr>
          <w:rFonts w:ascii="Times New Roman" w:hAnsi="Times New Roman"/>
        </w:rPr>
        <w:t xml:space="preserve">patient 13</w:t>
      </w:r>
      <w:r>
        <w:rPr>
          <w:rFonts w:ascii="Times New Roman" w:hAnsi="Times New Roman"/>
        </w:rPr>
        <w:t xml:space="preserve">”</w:t>
      </w:r>
      <w:r>
        <w:rPr>
          <w:rFonts w:ascii="Times New Roman" w:hAnsi="Times New Roman"/>
        </w:rPr>
        <w:t xml:space="preserve">, not to patient 5. Gene counts, not FPKM columns, were converted to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(CPM+1); Ensembl IDs with ambiguous HGNC symbol mappings were excluded and remaining duplicate symbols summed before the prespecified CPM filter. Source checksum and full mappings are in</w:t>
      </w:r>
      <w:r>
        <w:rPr>
          <w:rFonts w:ascii="Times New Roman" w:hAnsi="Times New Roman"/>
        </w:rPr>
        <w:t xml:space="preserve"> </w:t>
      </w:r>
      <w:r>
        <w:rPr>
          <w:rStyle w:val="VerbatimChar"/>
          <w:rFonts w:ascii="Times New Roman" w:hAnsi="Times New Roman"/>
        </w:rPr>
        <w:t xml:space="preserve">results/endo_p17_</w:t>
      </w:r>
      <w:r>
        <w:rPr>
          <w:rFonts w:ascii="Times New Roman" w:hAnsi="Times New Roman"/>
        </w:rPr>
        <w:t xml:space="preserve">.</w:t>
      </w:r>
    </w:p>
    <w:p>
      <w:pPr>
        <w:pStyle w:val="BodyText"/>
      </w:pPr>
      <w:r>
        <w:rPr>
          <w:rFonts w:ascii="Times New Roman" w:hAnsi="Times New Roman"/>
        </w:rPr>
        <w:t xml:space="preserve">Only ten of the fixed twenty genes were measured by this unambiguous mapping/filter rule, below the registered fifteen-gene minimum. Six of ten measurable signs agree with discovery, versus a 10,000-set direction-preserving, minimum-discovery-coverage null mean of 5.761 and empirical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35.png" id="0" name="Picture"/>
                    <pic:cNvPicPr>
                      <a:picLocks noChangeArrowheads="1" noChangeAspect="1"/>
                    </pic:cNvPicPr>
                  </pic:nvPicPr>
                  <pic:blipFill>
                    <a:blip r:embed="rId202"/>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no same-direction gene passes the planned 0.05/20 nominal family threshold. The registered panel fails on coverage, sign fraction and matched-null probability. The article says participants had normal menstrual cycles and no recent hormone treatment, but GEO metadata do not define menstrual-cycle phase per donor;</w:t>
      </w:r>
      <w:r>
        <w:rPr>
          <w:rFonts w:ascii="Times New Roman" w:hAnsi="Times New Roman"/>
        </w:rPr>
        <w:t xml:space="preserve"> </w:t>
      </w:r>
      <w:r>
        <w:rPr>
          <w:rFonts w:ascii="Times New Roman" w:hAnsi="Times New Roman"/>
        </w:rPr>
        <w:t xml:space="preserve">“</w:t>
      </w:r>
      <w:r>
        <w:rPr>
          <w:rFonts w:ascii="Times New Roman" w:hAnsi="Times New Roman"/>
        </w:rPr>
        <w:t xml:space="preserve">S/P</w:t>
      </w:r>
      <w:r>
        <w:rPr>
          <w:rFonts w:ascii="Times New Roman" w:hAnsi="Times New Roman"/>
        </w:rPr>
        <w:t xml:space="preserve">”</w:t>
      </w:r>
      <w:r>
        <w:rPr>
          <w:rFonts w:ascii="Times New Roman" w:hAnsi="Times New Roman"/>
        </w:rPr>
        <w:t xml:space="preserve"> </w:t>
      </w:r>
      <w:r>
        <w:rPr>
          <w:rFonts w:ascii="Times New Roman" w:hAnsi="Times New Roman"/>
        </w:rPr>
        <w:t xml:space="preserve">file suffixes were not treated as such a definition. This and the published source’s prior endometriosis-fibrosis analysis limit any claim of independent biological novelty. The thirteen newly used GSM accessions sit within one GSE, not thirteen independent cohorts. This additional negative leaves the ten-disease tool without a validated endometriosis biomarker.</w:t>
      </w:r>
    </w:p>
    <w:p>
      <w:pPr>
        <w:pStyle w:val="Heading1"/>
      </w:pPr>
      <w:bookmarkStart w:id="203" w:name="Xc5378009dbf8625d30839fae41d1e2faf637f30"/>
      <w:r>
        <w:rPr>
          <w:rFonts w:ascii="Times New Roman" w:hAnsi="Times New Roman"/>
        </w:rPr>
        <w:t xml:space="preserve">Another late-placenta six-gene panel failure</w:t>
      </w:r>
      <w:bookmarkEnd w:id="203"/>
    </w:p>
    <w:p>
      <w:pPr>
        <w:pStyle w:val="FirstParagraph"/>
      </w:pPr>
      <w:r>
        <w:rPr>
          <w:rFonts w:ascii="Times New Roman" w:hAnsi="Times New Roman"/>
        </w:rPr>
        <w:t xml:space="preserve">The previously fixed six DOWN preeclampsia genes were tested in historical GSE143953, four placentas with PE and four controls at delivery (</w:t>
      </w:r>
      <w:hyperlink r:id="rId204">
        <w:r>
          <w:rPr>
            <w:rStyle w:val="Hyperlink"/>
          </w:rPr>
          <w:t xml:space="preserve">https://www.ncbi.nlm.nih.gov/geo/query/acc.cgi?acc=GSE143953</w:t>
        </w:r>
      </w:hyperlink>
      <w:r>
        <w:rPr>
          <w:rFonts w:ascii="Times New Roman" w:hAnsi="Times New Roman"/>
        </w:rPr>
        <w:t xml:space="preserve">). Workbook columns ECL001/003/004/005 and NEG002/003/004/005 mapped exactly to eight distinct GEO GSM titles and disease labels. The source supplies FPKM rather than integer count values; we used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(FPKM+1), not a second CPM normalization. The six unambiguous symbol rows are all measured. FES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37.png" id="0" name="Picture"/>
                    <pic:cNvPicPr>
                      <a:picLocks noChangeArrowheads="1" noChangeAspect="1"/>
                    </pic:cNvPicPr>
                  </pic:nvPicPr>
                  <pic:blipFill>
                    <a:blip r:embed="rId20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38.png" id="0" name="Picture"/>
                    <pic:cNvPicPr>
                      <a:picLocks noChangeArrowheads="1" noChangeAspect="1"/>
                    </pic:cNvPicPr>
                  </pic:nvPicPr>
                  <pic:blipFill>
                    <a:blip r:embed="rId206"/>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GPAT3 -0.187 (0.773), FURIN -0.944 (0.215), GRAMD1A -0.177 (0.790), ZNF467 -1.341 (0.085), and LPGAT1 +0.443 (0.512). Five of six signs agree, not the required six; none has same-direction</w:t>
      </w:r>
      <w:r>
        <w:rPr>
          <w:rFonts w:ascii="Times New Roman" w:hAnsi="Times New Roman"/>
        </w:rPr>
        <w:t xml:space="preserve"> </w:t>
      </w:r>
      <w:r>
        <w:rPr>
          <w:rFonts w:ascii="Times New Roman" w:hAnsi="Times New Roman"/>
        </w:rPr>
        <w:drawing>
          <wp:inline>
            <wp:extent cx="584200" cy="126644"/>
            <wp:effectExtent b="0" l="0" r="0" t="0"/>
            <wp:docPr descr="image" title="" id="1" name="Picture"/>
            <a:graphic>
              <a:graphicData uri="http://schemas.openxmlformats.org/drawingml/2006/picture">
                <pic:pic>
                  <pic:nvPicPr>
                    <pic:cNvPr descr="equations/in149.png" id="0" name="Picture"/>
                    <pic:cNvPicPr>
                      <a:picLocks noChangeArrowheads="1" noChangeAspect="1"/>
                    </pic:cNvPicPr>
                  </pic:nvPicPr>
                  <pic:blipFill>
                    <a:blip r:embed="rId207"/>
                    <a:stretch>
                      <a:fillRect/>
                    </a:stretch>
                  </pic:blipFill>
                  <pic:spPr bwMode="auto">
                    <a:xfrm>
                      <a:off x="0" y="0"/>
                      <a:ext cx="584200" cy="126644"/>
                    </a:xfrm>
                    <a:prstGeom prst="rect">
                      <a:avLst/>
                    </a:prstGeom>
                    <a:noFill/>
                    <a:ln w="9525">
                      <a:noFill/>
                      <a:headEnd/>
                      <a:tailEnd/>
                    </a:ln>
                  </pic:spPr>
                </pic:pic>
              </a:graphicData>
            </a:graphic>
          </wp:inline>
        </w:drawing>
      </w:r>
      <w:r>
        <w:rPr>
          <w:rFonts w:ascii="Times New Roman" w:hAnsi="Times New Roman"/>
        </w:rPr>
        <w:t xml:space="preserve">. The descriptive panel fails. All six effects, source checksum and column-to-GSM mapping are in</w:t>
      </w:r>
      <w:r>
        <w:rPr>
          <w:rFonts w:ascii="Times New Roman" w:hAnsi="Times New Roman"/>
        </w:rPr>
        <w:t xml:space="preserve"> </w:t>
      </w:r>
      <w:r>
        <w:rPr>
          <w:rStyle w:val="VerbatimChar"/>
          <w:rFonts w:ascii="Times New Roman" w:hAnsi="Times New Roman"/>
        </w:rPr>
        <w:t xml:space="preserve">results/pe_p19_</w:t>
      </w:r>
      <w:r>
        <w:rPr>
          <w:rFonts w:ascii="Times New Roman" w:hAnsi="Times New Roman"/>
        </w:rPr>
        <w:t xml:space="preserve">. Eight used GSM records belong to one added GSE; no independent early-pregnancy validation or novel marker follows from this small at-delivery series.</w:t>
      </w:r>
    </w:p>
    <w:p>
      <w:pPr>
        <w:pStyle w:val="Heading1"/>
      </w:pPr>
      <w:bookmarkStart w:id="208" w:name="Xe570f1ae3dd5276fbd982d3f2581cad7f668439"/>
      <w:r>
        <w:rPr>
          <w:rFonts w:ascii="Times New Roman" w:hAnsi="Times New Roman"/>
        </w:rPr>
        <w:t xml:space="preserve">P21 historical severe-PE placenta: fixed-panel descriptive support</w:t>
      </w:r>
      <w:bookmarkEnd w:id="208"/>
    </w:p>
    <w:p>
      <w:pPr>
        <w:pStyle w:val="FirstParagraph"/>
      </w:pPr>
      <w:r>
        <w:rPr>
          <w:rFonts w:ascii="Times New Roman" w:hAnsi="Times New Roman"/>
        </w:rPr>
        <w:t xml:space="preserve">After the six-gene DOWN panel was frozen and had already been examined across many other deposits, GSE148241 offered an at-delivery contrast of nine early-onset severe preeclamptic placentas and 32 recorded normal placentas (</w:t>
      </w:r>
      <w:hyperlink r:id="rId209">
        <w:r>
          <w:rPr>
            <w:rStyle w:val="Hyperlink"/>
          </w:rPr>
          <w:t xml:space="preserve">https://www.ncbi.nlm.nih.gov/geo/query/acc.cgi?acc=GSE148241</w:t>
        </w:r>
      </w:hyperlink>
      <w:r>
        <w:rPr>
          <w:rFonts w:ascii="Times New Roman" w:hAnsi="Times New Roman"/>
        </w:rPr>
        <w:t xml:space="preserve">). We registered a diagnostic rule before loading any panel value in this deposit. Two umbilical cord-blood records were excluded. Normal sample titles PHNPR27A/B and PHNPR38A/B may represent repeated tissue from the same donors; the B records were conservatively excluded, leaving 30 controls. Unique donor identity cannot otherwise be established from these titles. Each of the 39 retained GSM raw-count files passed the predeclared integer, nonnegative, common-gene-ID checks. Approved HGNC symbol-to-Ensembl mappings resolved each target once. We computed gene-level</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compared case to control with Hedges</w:t>
      </w:r>
      <w:r>
        <w:rPr>
          <w:rFonts w:ascii="Times New Roman" w:hAnsi="Times New Roman"/>
        </w:rPr>
        <w:t xml:space="preserve"> </w:t>
      </w:r>
      <w:r>
        <w:rPr>
          <w:rFonts w:ascii="Times New Roman" w:hAnsi="Times New Roman"/>
        </w:rPr>
        <w:drawing>
          <wp:inline>
            <wp:extent cx="64769" cy="77723"/>
            <wp:effectExtent b="0" l="0" r="0" t="0"/>
            <wp:docPr descr="image" title="" id="1" name="Picture"/>
            <a:graphic>
              <a:graphicData uri="http://schemas.openxmlformats.org/drawingml/2006/picture">
                <pic:pic>
                  <pic:nvPicPr>
                    <pic:cNvPr descr="equations/in002.png" id="0" name="Picture"/>
                    <pic:cNvPicPr>
                      <a:picLocks noChangeArrowheads="1" noChangeAspect="1"/>
                    </pic:cNvPicPr>
                  </pic:nvPicPr>
                  <pic:blipFill>
                    <a:blip r:embed="rId26"/>
                    <a:stretch>
                      <a:fillRect/>
                    </a:stretch>
                  </pic:blipFill>
                  <pic:spPr bwMode="auto">
                    <a:xfrm>
                      <a:off x="0" y="0"/>
                      <a:ext cx="64769" cy="7772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two-sided Welch</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using putatively distinct placental specimens rather than genes as the unit of contrast.</w:t>
      </w:r>
    </w:p>
    <w:p>
      <w:pPr>
        <w:pStyle w:val="BodyText"/>
      </w:pPr>
      <w:r>
        <w:rPr>
          <w:rFonts w:ascii="Times New Roman" w:hAnsi="Times New Roman"/>
        </w:rPr>
        <w:t xml:space="preserve">All six panel signs point DOWN: FES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51.png" id="0" name="Picture"/>
                    <pic:cNvPicPr>
                      <a:picLocks noChangeArrowheads="1" noChangeAspect="1"/>
                    </pic:cNvPicPr>
                  </pic:nvPicPr>
                  <pic:blipFill>
                    <a:blip r:embed="rId21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152.png" id="0" name="Picture"/>
                    <pic:cNvPicPr>
                      <a:picLocks noChangeArrowheads="1" noChangeAspect="1"/>
                    </pic:cNvPicPr>
                  </pic:nvPicPr>
                  <pic:blipFill>
                    <a:blip r:embed="rId212"/>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GPAT3 -1.223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154.png" id="0" name="Picture"/>
                    <pic:cNvPicPr>
                      <a:picLocks noChangeArrowheads="1" noChangeAspect="1"/>
                    </pic:cNvPicPr>
                  </pic:nvPicPr>
                  <pic:blipFill>
                    <a:blip r:embed="rId213"/>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FURIN -2.060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156.png" id="0" name="Picture"/>
                    <pic:cNvPicPr>
                      <a:picLocks noChangeArrowheads="1" noChangeAspect="1"/>
                    </pic:cNvPicPr>
                  </pic:nvPicPr>
                  <pic:blipFill>
                    <a:blip r:embed="rId214"/>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GRAMD1A -1.202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58.png" id="0" name="Picture"/>
                    <pic:cNvPicPr>
                      <a:picLocks noChangeArrowheads="1" noChangeAspect="1"/>
                    </pic:cNvPicPr>
                  </pic:nvPicPr>
                  <pic:blipFill>
                    <a:blip r:embed="rId215"/>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ZNF467 -3.193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160.png" id="0" name="Picture"/>
                    <pic:cNvPicPr>
                      <a:picLocks noChangeArrowheads="1" noChangeAspect="1"/>
                    </pic:cNvPicPr>
                  </pic:nvPicPr>
                  <pic:blipFill>
                    <a:blip r:embed="rId216"/>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and LPGAT1 -1.106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62.png" id="0" name="Picture"/>
                    <pic:cNvPicPr>
                      <a:picLocks noChangeArrowheads="1" noChangeAspect="1"/>
                    </pic:cNvPicPr>
                  </pic:nvPicPr>
                  <pic:blipFill>
                    <a:blip r:embed="rId217"/>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Four local</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values pass 0.05/6. Thus this deposit meets the registered descriptive six-sign and at-least-one-corrected-gene rule, unlike P19. It does not make any of these genes a newly discovered preeclampsia biomarker: panel choice followed earlier data, the public 2020 deposit is historical, and this contrast is severe PE at delivery rather than prediction at 11–13 weeks or maternal blood. A large effect can reflect gestational age, fetal growth, severity, case mix, or placenta cell composition; the deposit metadata does not resolve those alternatives. The original study investigated RNA-editing dysregulation rather than a prospective version of our six-gene prediction task. Source and sample checksums, all per-gene effects, exact identity mapping and runnable analysis are in</w:t>
      </w:r>
      <w:r>
        <w:rPr>
          <w:rFonts w:ascii="Times New Roman" w:hAnsi="Times New Roman"/>
        </w:rPr>
        <w:t xml:space="preserve"> </w:t>
      </w:r>
      <w:r>
        <w:rPr>
          <w:rStyle w:val="VerbatimChar"/>
          <w:rFonts w:ascii="Times New Roman" w:hAnsi="Times New Roman"/>
        </w:rPr>
        <w:t xml:space="preserve">results/pe_p21_</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scripts/pe_p21_test.py</w:t>
      </w:r>
      <w:r>
        <w:rPr>
          <w:rFonts w:ascii="Times New Roman" w:hAnsi="Times New Roman"/>
        </w:rPr>
        <w:t xml:space="preserve">. This study contributes one GSE and 39 analyzed GSM records, not 40 independent studies.</w:t>
      </w:r>
    </w:p>
    <w:p>
      <w:pPr>
        <w:pStyle w:val="Heading1"/>
      </w:pPr>
      <w:bookmarkStart w:id="218" w:name="X499af293ccd0f31af732278b0f11e4a1594d69d"/>
      <w:r>
        <w:rPr>
          <w:rFonts w:ascii="Times New Roman" w:hAnsi="Times New Roman"/>
        </w:rPr>
        <w:t xml:space="preserve">P22 preterm-birth comparator: frozen placental panel fails</w:t>
      </w:r>
      <w:bookmarkEnd w:id="218"/>
    </w:p>
    <w:p>
      <w:pPr>
        <w:pStyle w:val="FirstParagraph"/>
      </w:pPr>
      <w:r>
        <w:rPr>
          <w:rFonts w:ascii="Times New Roman" w:hAnsi="Times New Roman"/>
        </w:rPr>
        <w:t xml:space="preserve">The P21 positive contrast used historical early-onset severe PE versus normal placentas at delivery; we then found a different historical study with five early-onset PE and five preterm-birth placentas, GSE177049 (</w:t>
      </w:r>
      <w:hyperlink r:id="rId219">
        <w:r>
          <w:rPr>
            <w:rStyle w:val="Hyperlink"/>
          </w:rPr>
          <w:t xml:space="preserve">https://www.ncbi.nlm.nih.gov/geo/query/acc.cgi?acc=GSE177049</w:t>
        </w:r>
      </w:hyperlink>
      <w:r>
        <w:rPr>
          <w:rFonts w:ascii="Times New Roman" w:hAnsi="Times New Roman"/>
        </w:rPr>
        <w:t xml:space="preserve">). This is not a patient-level matched reanalysis of P21, but the preterm-birth comparator makes it a useful, albeit small, test of the frozen six DOWN directions. Before opening any fixed-gene outcome, we registered an all-six-down and at-least-one-corrected-gene descriptive rule. Each of ten workbook RNA sample columns N1–N5 and PE1–PE5 mapped exactly to a disease-labeled GEO RNA GSM; ten corresponding miRNA GSMs were not treated as independent people or counted as gene-expression accessions. The per-sample workbook abundance is FPKM; we used</w:t>
      </w:r>
      <w:r>
        <w:rPr>
          <w:rFonts w:ascii="Times New Roman" w:hAnsi="Times New Roman"/>
        </w:rPr>
        <w:t xml:space="preserve"> </w:t>
      </w:r>
      <w:r>
        <w:rPr>
          <w:rFonts w:ascii="Times New Roman" w:hAnsi="Times New Roman"/>
        </w:rPr>
        <w:drawing>
          <wp:inline>
            <wp:extent cx="919480" cy="126683"/>
            <wp:effectExtent b="0" l="0" r="0" t="0"/>
            <wp:docPr descr="image" title="" id="1" name="Picture"/>
            <a:graphic>
              <a:graphicData uri="http://schemas.openxmlformats.org/drawingml/2006/picture">
                <pic:pic>
                  <pic:nvPicPr>
                    <pic:cNvPr descr="equations/in164.png" id="0" name="Picture"/>
                    <pic:cNvPicPr>
                      <a:picLocks noChangeArrowheads="1" noChangeAspect="1"/>
                    </pic:cNvPicPr>
                  </pic:nvPicPr>
                  <pic:blipFill>
                    <a:blip r:embed="rId220"/>
                    <a:stretch>
                      <a:fillRect/>
                    </a:stretch>
                  </pic:blipFill>
                  <pic:spPr bwMode="auto">
                    <a:xfrm>
                      <a:off x="0" y="0"/>
                      <a:ext cx="919480" cy="126683"/>
                    </a:xfrm>
                    <a:prstGeom prst="rect">
                      <a:avLst/>
                    </a:prstGeom>
                    <a:noFill/>
                    <a:ln w="9525">
                      <a:noFill/>
                      <a:headEnd/>
                      <a:tailEnd/>
                    </a:ln>
                  </pic:spPr>
                </pic:pic>
              </a:graphicData>
            </a:graphic>
          </wp:inline>
        </w:drawing>
      </w:r>
      <w:r>
        <w:rPr>
          <w:rFonts w:ascii="Times New Roman" w:hAnsi="Times New Roman"/>
        </w:rPr>
        <w:t xml:space="preserve">, rather than treating FPKM as a count library.</w:t>
      </w:r>
    </w:p>
    <w:p>
      <w:pPr>
        <w:pStyle w:val="BodyText"/>
      </w:pPr>
      <w:r>
        <w:rPr>
          <w:rFonts w:ascii="Times New Roman" w:hAnsi="Times New Roman"/>
        </w:rPr>
        <w:t xml:space="preserve">Three of six signs point DOWN: FES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65.png" id="0" name="Picture"/>
                    <pic:cNvPicPr>
                      <a:picLocks noChangeArrowheads="1" noChangeAspect="1"/>
                    </pic:cNvPicPr>
                  </pic:nvPicPr>
                  <pic:blipFill>
                    <a:blip r:embed="rId22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66.png" id="0" name="Picture"/>
                    <pic:cNvPicPr>
                      <a:picLocks noChangeArrowheads="1" noChangeAspect="1"/>
                    </pic:cNvPicPr>
                  </pic:nvPicPr>
                  <pic:blipFill>
                    <a:blip r:embed="rId222"/>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GPAT3 -0.561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68.png" id="0" name="Picture"/>
                    <pic:cNvPicPr>
                      <a:picLocks noChangeArrowheads="1" noChangeAspect="1"/>
                    </pic:cNvPicPr>
                  </pic:nvPicPr>
                  <pic:blipFill>
                    <a:blip r:embed="rId22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FURIN +0.451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70.png" id="0" name="Picture"/>
                    <pic:cNvPicPr>
                      <a:picLocks noChangeArrowheads="1" noChangeAspect="1"/>
                    </pic:cNvPicPr>
                  </pic:nvPicPr>
                  <pic:blipFill>
                    <a:blip r:embed="rId224"/>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GRAMD1A +0.438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72.png" id="0" name="Picture"/>
                    <pic:cNvPicPr>
                      <a:picLocks noChangeArrowheads="1" noChangeAspect="1"/>
                    </pic:cNvPicPr>
                  </pic:nvPicPr>
                  <pic:blipFill>
                    <a:blip r:embed="rId22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ZNF467 -0.778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74.png" id="0" name="Picture"/>
                    <pic:cNvPicPr>
                      <a:picLocks noChangeArrowheads="1" noChangeAspect="1"/>
                    </pic:cNvPicPr>
                  </pic:nvPicPr>
                  <pic:blipFill>
                    <a:blip r:embed="rId226"/>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LPGAT1 -0.362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76.png" id="0" name="Picture"/>
                    <pic:cNvPicPr>
                      <a:picLocks noChangeArrowheads="1" noChangeAspect="1"/>
                    </pic:cNvPicPr>
                  </pic:nvPicPr>
                  <pic:blipFill>
                    <a:blip r:embed="rId227"/>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None meets</w:t>
      </w:r>
      <w:r>
        <w:rPr>
          <w:rFonts w:ascii="Times New Roman" w:hAnsi="Times New Roman"/>
        </w:rPr>
        <w:t xml:space="preserve"> </w:t>
      </w:r>
      <w:r>
        <w:rPr>
          <w:rFonts w:ascii="Times New Roman" w:hAnsi="Times New Roman"/>
        </w:rPr>
        <w:drawing>
          <wp:inline>
            <wp:extent cx="584200" cy="126644"/>
            <wp:effectExtent b="0" l="0" r="0" t="0"/>
            <wp:docPr descr="image" title="" id="1" name="Picture"/>
            <a:graphic>
              <a:graphicData uri="http://schemas.openxmlformats.org/drawingml/2006/picture">
                <pic:pic>
                  <pic:nvPicPr>
                    <pic:cNvPr descr="equations/in149.png" id="0" name="Picture"/>
                    <pic:cNvPicPr>
                      <a:picLocks noChangeArrowheads="1" noChangeAspect="1"/>
                    </pic:cNvPicPr>
                  </pic:nvPicPr>
                  <pic:blipFill>
                    <a:blip r:embed="rId207"/>
                    <a:stretch>
                      <a:fillRect/>
                    </a:stretch>
                  </pic:blipFill>
                  <pic:spPr bwMode="auto">
                    <a:xfrm>
                      <a:off x="0" y="0"/>
                      <a:ext cx="584200" cy="126644"/>
                    </a:xfrm>
                    <a:prstGeom prst="rect">
                      <a:avLst/>
                    </a:prstGeom>
                    <a:noFill/>
                    <a:ln w="9525">
                      <a:noFill/>
                      <a:headEnd/>
                      <a:tailEnd/>
                    </a:ln>
                  </pic:spPr>
                </pic:pic>
              </a:graphicData>
            </a:graphic>
          </wp:inline>
        </w:drawing>
      </w:r>
      <w:r>
        <w:rPr>
          <w:rFonts w:ascii="Times New Roman" w:hAnsi="Times New Roman"/>
        </w:rPr>
        <w:t xml:space="preserve">. Thus P22 fails the registered descriptive rule and weakens a broad placental specificity interpretation of P21. Its five-versus-five comparison lacks precision and uses a different study, so it cannot isolate how much of P21’s contrast was gestational age, control selection, cell composition or processing. It supplies no early prediction or new discovery. All exact mappings, six effects and workbook checksum are in</w:t>
      </w:r>
      <w:r>
        <w:rPr>
          <w:rFonts w:ascii="Times New Roman" w:hAnsi="Times New Roman"/>
        </w:rPr>
        <w:t xml:space="preserve"> </w:t>
      </w:r>
      <w:r>
        <w:rPr>
          <w:rStyle w:val="VerbatimChar"/>
          <w:rFonts w:ascii="Times New Roman" w:hAnsi="Times New Roman"/>
        </w:rPr>
        <w:t xml:space="preserve">results/pe_p22_</w:t>
      </w:r>
      <w:r>
        <w:rPr>
          <w:rFonts w:ascii="Times New Roman" w:hAnsi="Times New Roman"/>
        </w:rPr>
        <w:t xml:space="preserve">; the original GSE and ten RNA GSMs add eleven used records, not eleven independent cohorts.</w:t>
      </w:r>
    </w:p>
    <w:p>
      <w:pPr>
        <w:pStyle w:val="Heading1"/>
      </w:pPr>
      <w:bookmarkStart w:id="228" w:name="Xb8f540845d6e51660d40aaced3d7e762fc188cb"/>
      <w:r>
        <w:rPr>
          <w:rFonts w:ascii="Times New Roman" w:hAnsi="Times New Roman"/>
        </w:rPr>
        <w:t xml:space="preserve">P23 gestational-age-matched chorionic-villus panel fails</w:t>
      </w:r>
      <w:bookmarkEnd w:id="228"/>
    </w:p>
    <w:p>
      <w:pPr>
        <w:pStyle w:val="FirstParagraph"/>
      </w:pPr>
      <w:r>
        <w:rPr>
          <w:rFonts w:ascii="Times New Roman" w:hAnsi="Times New Roman"/>
        </w:rPr>
        <w:t xml:space="preserve">A previous generic screen had skipped GSE44711 because its early-onset PE label,</w:t>
      </w:r>
      <w:r>
        <w:rPr>
          <w:rFonts w:ascii="Times New Roman" w:hAnsi="Times New Roman"/>
        </w:rPr>
        <w:t xml:space="preserve"> </w:t>
      </w:r>
      <w:r>
        <w:rPr>
          <w:rStyle w:val="VerbatimChar"/>
          <w:rFonts w:ascii="Times New Roman" w:hAnsi="Times New Roman"/>
        </w:rPr>
        <w:t xml:space="preserve">EOPET</w:t>
      </w:r>
      <w:r>
        <w:rPr>
          <w:rFonts w:ascii="Times New Roman" w:hAnsi="Times New Roman"/>
        </w:rPr>
        <w:t xml:space="preserve">, did not match the parser’s case pattern; the series matrix was downloaded, but no case contrast or frozen-panel effect was computed. We reopened only its GEO record and sample metadata, then registered a fixed six-DOWN-gene test before reading any target expression values (</w:t>
      </w:r>
      <w:hyperlink r:id="rId229">
        <w:r>
          <w:rPr>
            <w:rStyle w:val="Hyperlink"/>
          </w:rPr>
          <w:t xml:space="preserve">https://www.ncbi.nlm.nih.gov/geo/query/acc.cgi?acc=GSE44711</w:t>
        </w:r>
      </w:hyperlink>
      <w:r>
        <w:rPr>
          <w:rFonts w:ascii="Times New Roman" w:hAnsi="Times New Roman"/>
        </w:rPr>
        <w:t xml:space="preserve">). Its archival 2013 expression subseries contains eight early-onset PE and eight control chorionic-villus arrays on GPL10558, with matched gestational ages claimed by the study. The actual PE gestational weeks span 24.86–37.28; controls span 25.0–36.0. Every title and GSM mapped exactly to a unique matrix column. The source’s GSE44712 superseries also includes methylation and does not add independent expression cases.</w:t>
      </w:r>
    </w:p>
    <w:p>
      <w:pPr>
        <w:pStyle w:val="BodyText"/>
      </w:pPr>
      <w:r>
        <w:rPr>
          <w:rFonts w:ascii="Times New Roman" w:hAnsi="Times New Roman"/>
        </w:rPr>
        <w:t xml:space="preserve">We applied the committed normalized array transformation and GPL10558 probe-to-symbol mapping, choosing among the two LPGAT1 probes by the global max-mean rule without disease labels. All six frozen targets were measurable. PE minus control Hedges effects and two-sided Welch probabilities are: FES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77.png" id="0" name="Picture"/>
                    <pic:cNvPicPr>
                      <a:picLocks noChangeArrowheads="1" noChangeAspect="1"/>
                    </pic:cNvPicPr>
                  </pic:nvPicPr>
                  <pic:blipFill>
                    <a:blip r:embed="rId23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178.png" id="0" name="Picture"/>
                    <pic:cNvPicPr>
                      <a:picLocks noChangeArrowheads="1" noChangeAspect="1"/>
                    </pic:cNvPicPr>
                  </pic:nvPicPr>
                  <pic:blipFill>
                    <a:blip r:embed="rId231"/>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GPAT3</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79.png" id="0" name="Picture"/>
                    <pic:cNvPicPr>
                      <a:picLocks noChangeArrowheads="1" noChangeAspect="1"/>
                    </pic:cNvPicPr>
                  </pic:nvPicPr>
                  <pic:blipFill>
                    <a:blip r:embed="rId23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80.png" id="0" name="Picture"/>
                    <pic:cNvPicPr>
                      <a:picLocks noChangeArrowheads="1" noChangeAspect="1"/>
                    </pic:cNvPicPr>
                  </pic:nvPicPr>
                  <pic:blipFill>
                    <a:blip r:embed="rId233"/>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FURIN</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81.png" id="0" name="Picture"/>
                    <pic:cNvPicPr>
                      <a:picLocks noChangeArrowheads="1" noChangeAspect="1"/>
                    </pic:cNvPicPr>
                  </pic:nvPicPr>
                  <pic:blipFill>
                    <a:blip r:embed="rId234"/>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82.png" id="0" name="Picture"/>
                    <pic:cNvPicPr>
                      <a:picLocks noChangeArrowheads="1" noChangeAspect="1"/>
                    </pic:cNvPicPr>
                  </pic:nvPicPr>
                  <pic:blipFill>
                    <a:blip r:embed="rId235"/>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GRAMD1A</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83.png" id="0" name="Picture"/>
                    <pic:cNvPicPr>
                      <a:picLocks noChangeArrowheads="1" noChangeAspect="1"/>
                    </pic:cNvPicPr>
                  </pic:nvPicPr>
                  <pic:blipFill>
                    <a:blip r:embed="rId236"/>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184.png" id="0" name="Picture"/>
                    <pic:cNvPicPr>
                      <a:picLocks noChangeArrowheads="1" noChangeAspect="1"/>
                    </pic:cNvPicPr>
                  </pic:nvPicPr>
                  <pic:blipFill>
                    <a:blip r:embed="rId237"/>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ZNF467</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85.png" id="0" name="Picture"/>
                    <pic:cNvPicPr>
                      <a:picLocks noChangeArrowheads="1" noChangeAspect="1"/>
                    </pic:cNvPicPr>
                  </pic:nvPicPr>
                  <pic:blipFill>
                    <a:blip r:embed="rId238"/>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186.png" id="0" name="Picture"/>
                    <pic:cNvPicPr>
                      <a:picLocks noChangeArrowheads="1" noChangeAspect="1"/>
                    </pic:cNvPicPr>
                  </pic:nvPicPr>
                  <pic:blipFill>
                    <a:blip r:embed="rId239"/>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LPGAT1</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87.png" id="0" name="Picture"/>
                    <pic:cNvPicPr>
                      <a:picLocks noChangeArrowheads="1" noChangeAspect="1"/>
                    </pic:cNvPicPr>
                  </pic:nvPicPr>
                  <pic:blipFill>
                    <a:blip r:embed="rId24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188.png" id="0" name="Picture"/>
                    <pic:cNvPicPr>
                      <a:picLocks noChangeArrowheads="1" noChangeAspect="1"/>
                    </pic:cNvPicPr>
                  </pic:nvPicPr>
                  <pic:blipFill>
                    <a:blip r:embed="rId241"/>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FES and GRAMD1A pass the local 0.05/6 threshold in the specified direction, but GPAT3 and FURIN reverse, so the registered all-six-DOWN descriptive rule</w:t>
      </w:r>
      <w:r>
        <w:rPr>
          <w:rFonts w:ascii="Times New Roman" w:hAnsi="Times New Roman"/>
        </w:rPr>
        <w:t xml:space="preserve"> </w:t>
      </w:r>
      <w:r>
        <w:rPr>
          <w:rFonts w:ascii="Times New Roman" w:hAnsi="Times New Roman"/>
          <w:i/>
        </w:rPr>
        <w:t xml:space="preserve">fails</w:t>
      </w:r>
      <w:r>
        <w:rPr>
          <w:rFonts w:ascii="Times New Roman" w:hAnsi="Times New Roman"/>
        </w:rPr>
        <w:t xml:space="preserve">. The 16 analyzed accessions belong to one old study, not 16 independent validations; we have not individually retrieved their full GSM records for the accession ledger. This gestationally matched contrast cannot repair P21’s severity, cell-composition or historical selection bias, and its negative panel result is another limit on broad specificity. Per-GSM ages, source matrix checksum and full effects are in</w:t>
      </w:r>
      <w:r>
        <w:rPr>
          <w:rFonts w:ascii="Times New Roman" w:hAnsi="Times New Roman"/>
        </w:rPr>
        <w:t xml:space="preserve"> </w:t>
      </w:r>
      <w:r>
        <w:rPr>
          <w:rStyle w:val="VerbatimChar"/>
          <w:rFonts w:ascii="Times New Roman" w:hAnsi="Times New Roman"/>
        </w:rPr>
        <w:t xml:space="preserve">results/pe_p23_</w:t>
      </w:r>
      <w:r>
        <w:rPr>
          <w:rFonts w:ascii="Times New Roman" w:hAnsi="Times New Roman"/>
        </w:rPr>
        <w:t xml:space="preserve">. Neither corrected hits nor panel failure establishes a novel biomarker or a clinical predictor.</w:t>
      </w:r>
    </w:p>
    <w:p>
      <w:pPr>
        <w:pStyle w:val="Heading1"/>
      </w:pPr>
      <w:bookmarkStart w:id="242" w:name="Xeb80aefdd713ce003c8da6228cabfe265851921"/>
      <w:r>
        <w:rPr>
          <w:rFonts w:ascii="Times New Roman" w:hAnsi="Times New Roman"/>
        </w:rPr>
        <w:t xml:space="preserve">P24 first-trimester CVS: label-conflicted transport calculation</w:t>
      </w:r>
      <w:bookmarkEnd w:id="242"/>
    </w:p>
    <w:p>
      <w:pPr>
        <w:pStyle w:val="FirstParagraph"/>
      </w:pPr>
      <w:r>
        <w:rPr>
          <w:rFonts w:ascii="Times New Roman" w:hAnsi="Times New Roman"/>
        </w:rPr>
        <w:t xml:space="preserve">GSE295760 is unusually relevant to the originally sought early-pregnancy signal: its chorionic-villus samples were obtained at 11–13 weeks, then linked to later preterm or term preeclampsia (</w:t>
      </w:r>
      <w:hyperlink r:id="rId80">
        <w:r>
          <w:rPr>
            <w:rStyle w:val="Hyperlink"/>
          </w:rPr>
          <w:t xml:space="preserve">https://www.ncbi.nlm.nih.gov/geo/query/acc.cgi?acc=GSE295760</w:t>
        </w:r>
      </w:hyperlink>
      <w:r>
        <w:rPr>
          <w:rFonts w:ascii="Times New Roman" w:hAnsi="Times New Roman"/>
        </w:rPr>
        <w:t xml:space="preserve">). After reading only metadata and the non-panel workbook header/first three gene rows, we registered the same six DOWN directions, the primary preterm-PE-versus-control contrast and the complete decision rule. The deposited mRNA RNA-seq metadata and count-workbook columns enumerate four preterm PE, six term PE and nine normotensive controls, while the GEO series description claims four, four and six (14 in all). The linked primary paper reports eighteen collected CVS and fourteen with matched mRNA, small RNA and proteomics used for its DIABLO/LOOCV model (</w:t>
      </w:r>
      <w:hyperlink r:id="rId243">
        <w:r>
          <w:rPr>
            <w:rStyle w:val="Hyperlink"/>
          </w:rPr>
          <w:t xml:space="preserve">https://pmc.ncbi.nlm.nih.gov/articles/PMC13240503/</w:t>
        </w:r>
      </w:hyperlink>
      <w:r>
        <w:rPr>
          <w:rFonts w:ascii="Times New Roman" w:hAnsi="Times New Roman"/>
        </w:rPr>
        <w:t xml:space="preserve">). This explains a fourteen-person matched-omics subset, but does not reconcile the eighteen collected specimens with nineteen deposited distinct mRNA titles. We applied the actual nineteen uniquely named mRNA sample columns and their disease-labeled GEO metadata, checked one-to-one mRNA sample tokens, and excluded nineteen small-RNAseq GSMs corresponding to those specimen tokens. A later cross-modality identity audit found four contradictory outcome labels for the same specimen token: C1934 is preterm PE in mRNA but control in small RNA; C1941 is control versus preterm PE; C3729 is term PE versus control; C4144 is control versus term PE. Because the label source cannot be adjudicated, P24 cannot establish even a reliable direction-panel transport outcome. The authors’ supplementary material was identified but did not provide a verified token-to-outcome resolution in this analysis. It would be unsound to silently claim that the source-description 14-person design was reproduced. Source workbooks, checksums, exact mappings and both contrasts are in</w:t>
      </w:r>
      <w:r>
        <w:rPr>
          <w:rFonts w:ascii="Times New Roman" w:hAnsi="Times New Roman"/>
        </w:rPr>
        <w:t xml:space="preserve"> </w:t>
      </w:r>
      <w:r>
        <w:rPr>
          <w:rStyle w:val="VerbatimChar"/>
          <w:rFonts w:ascii="Times New Roman" w:hAnsi="Times New Roman"/>
        </w:rPr>
        <w:t xml:space="preserve">results/pe_p24_</w:t>
      </w:r>
      <w:r>
        <w:rPr>
          <w:rFonts w:ascii="Times New Roman" w:hAnsi="Times New Roman"/>
        </w:rPr>
        <w:t xml:space="preserve">.</w:t>
      </w:r>
    </w:p>
    <w:p>
      <w:pPr>
        <w:pStyle w:val="BodyText"/>
      </w:pPr>
      <w:r>
        <w:rPr>
          <w:rFonts w:ascii="Times New Roman" w:hAnsi="Times New Roman"/>
        </w:rPr>
        <w:t xml:space="preserve">The 39,533 workbook gene rows were finite nonnegative integer counts in all columns. After full-library</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normalization, all six uniquely named genes were measurable. In the registered preterm PE (four) versus control (nine) calculation under the mRNA annotations, FES points UP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89.png" id="0" name="Picture"/>
                    <pic:cNvPicPr>
                      <a:picLocks noChangeArrowheads="1" noChangeAspect="1"/>
                    </pic:cNvPicPr>
                  </pic:nvPicPr>
                  <pic:blipFill>
                    <a:blip r:embed="rId244"/>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90.png" id="0" name="Picture"/>
                    <pic:cNvPicPr>
                      <a:picLocks noChangeArrowheads="1" noChangeAspect="1"/>
                    </pic:cNvPicPr>
                  </pic:nvPicPr>
                  <pic:blipFill>
                    <a:blip r:embed="rId24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GPAT3 points UP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91.png" id="0" name="Picture"/>
                    <pic:cNvPicPr>
                      <a:picLocks noChangeArrowheads="1" noChangeAspect="1"/>
                    </pic:cNvPicPr>
                  </pic:nvPicPr>
                  <pic:blipFill>
                    <a:blip r:embed="rId246"/>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92.png" id="0" name="Picture"/>
                    <pic:cNvPicPr>
                      <a:picLocks noChangeArrowheads="1" noChangeAspect="1"/>
                    </pic:cNvPicPr>
                  </pic:nvPicPr>
                  <pic:blipFill>
                    <a:blip r:embed="rId247"/>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FURIN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93.png" id="0" name="Picture"/>
                    <pic:cNvPicPr>
                      <a:picLocks noChangeArrowheads="1" noChangeAspect="1"/>
                    </pic:cNvPicPr>
                  </pic:nvPicPr>
                  <pic:blipFill>
                    <a:blip r:embed="rId248"/>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94.png" id="0" name="Picture"/>
                    <pic:cNvPicPr>
                      <a:picLocks noChangeArrowheads="1" noChangeAspect="1"/>
                    </pic:cNvPicPr>
                  </pic:nvPicPr>
                  <pic:blipFill>
                    <a:blip r:embed="rId24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GRAMD1A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95.png" id="0" name="Picture"/>
                    <pic:cNvPicPr>
                      <a:picLocks noChangeArrowheads="1" noChangeAspect="1"/>
                    </pic:cNvPicPr>
                  </pic:nvPicPr>
                  <pic:blipFill>
                    <a:blip r:embed="rId25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96.png" id="0" name="Picture"/>
                    <pic:cNvPicPr>
                      <a:picLocks noChangeArrowheads="1" noChangeAspect="1"/>
                    </pic:cNvPicPr>
                  </pic:nvPicPr>
                  <pic:blipFill>
                    <a:blip r:embed="rId25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ZNF467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97.png" id="0" name="Picture"/>
                    <pic:cNvPicPr>
                      <a:picLocks noChangeArrowheads="1" noChangeAspect="1"/>
                    </pic:cNvPicPr>
                  </pic:nvPicPr>
                  <pic:blipFill>
                    <a:blip r:embed="rId25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062.png" id="0" name="Picture"/>
                    <pic:cNvPicPr>
                      <a:picLocks noChangeArrowheads="1" noChangeAspect="1"/>
                    </pic:cNvPicPr>
                  </pic:nvPicPr>
                  <pic:blipFill>
                    <a:blip r:embed="rId98"/>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LPGAT1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198.png" id="0" name="Picture"/>
                    <pic:cNvPicPr>
                      <a:picLocks noChangeArrowheads="1" noChangeAspect="1"/>
                    </pic:cNvPicPr>
                  </pic:nvPicPr>
                  <pic:blipFill>
                    <a:blip r:embed="rId253"/>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199.png" id="0" name="Picture"/>
                    <pic:cNvPicPr>
                      <a:picLocks noChangeArrowheads="1" noChangeAspect="1"/>
                    </pic:cNvPicPr>
                  </pic:nvPicPr>
                  <pic:blipFill>
                    <a:blip r:embed="rId254"/>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point DOWN, with no locally corrected hit. Under the mRNA annotations the six-DOWN and one-</w:t>
      </w:r>
      <w:r>
        <w:rPr>
          <w:rFonts w:ascii="Times New Roman" w:hAnsi="Times New Roman"/>
        </w:rPr>
        <w:drawing>
          <wp:inline>
            <wp:extent cx="584200" cy="126644"/>
            <wp:effectExtent b="0" l="0" r="0" t="0"/>
            <wp:docPr descr="image" title="" id="1" name="Picture"/>
            <a:graphic>
              <a:graphicData uri="http://schemas.openxmlformats.org/drawingml/2006/picture">
                <pic:pic>
                  <pic:nvPicPr>
                    <pic:cNvPr descr="equations/in149.png" id="0" name="Picture"/>
                    <pic:cNvPicPr>
                      <a:picLocks noChangeArrowheads="1" noChangeAspect="1"/>
                    </pic:cNvPicPr>
                  </pic:nvPicPr>
                  <pic:blipFill>
                    <a:blip r:embed="rId207"/>
                    <a:stretch>
                      <a:fillRect/>
                    </a:stretch>
                  </pic:blipFill>
                  <pic:spPr bwMode="auto">
                    <a:xfrm>
                      <a:off x="0" y="0"/>
                      <a:ext cx="584200" cy="126644"/>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calculation does not pass; the preregistered biological test is</w:t>
      </w:r>
      <w:r>
        <w:rPr>
          <w:rFonts w:ascii="Times New Roman" w:hAnsi="Times New Roman"/>
        </w:rPr>
        <w:t xml:space="preserve"> </w:t>
      </w:r>
      <w:r>
        <w:rPr>
          <w:rFonts w:ascii="Times New Roman" w:hAnsi="Times New Roman"/>
          <w:i/>
        </w:rPr>
        <w:t xml:space="preserve">uninterpretable pending identity reconciliation</w:t>
      </w:r>
      <w:r>
        <w:rPr>
          <w:rFonts w:ascii="Times New Roman" w:hAnsi="Times New Roman"/>
        </w:rPr>
        <w:t xml:space="preserve">, not a valid negative replication. The explicitly secondary all-PE (ten versus nine) calculation under the same mRNA metadata retains FES and GPAT3 pointing UP and no corrected hit, but is equally uninterpretable as a disease contrast. Unlike the at-delivery placenta comparisons, these deposited columns represent an early tissue, but the label conflict blocks a valid group test, the sample is small, the deposited mRNA count differs from the paper’s collected-specimen count and the already-published multi-omics paper nominated signatures of its own. These label-conflicted measurements do not independently validate or falsify a new named biomarker, furnish a maternal-blood screening assay, or challenge a published benchmark under its own split and endpoint. No new GSMs have been counted in the accession ledger because the identity conflict prevents treating them as validated records; the workbook is one study, not nineteen external validations.</w:t>
      </w:r>
    </w:p>
    <w:p>
      <w:pPr>
        <w:pStyle w:val="Heading1"/>
      </w:pPr>
      <w:bookmarkStart w:id="255" w:name="X0da167994f1be8f3fd9056f485f7c488f6cd13b"/>
      <w:r>
        <w:rPr>
          <w:rFonts w:ascii="Times New Roman" w:hAnsi="Times New Roman"/>
        </w:rPr>
        <w:t xml:space="preserve">P25 paired Hunner-lesion tissue stress test: fixed IC panel fails</w:t>
      </w:r>
      <w:bookmarkEnd w:id="255"/>
    </w:p>
    <w:p>
      <w:pPr>
        <w:pStyle w:val="FirstParagraph"/>
      </w:pPr>
      <w:r>
        <w:rPr>
          <w:rFonts w:ascii="Times New Roman" w:hAnsi="Times New Roman"/>
        </w:rPr>
        <w:t xml:space="preserve">To test whether the existing interstitial-cystitis discovery signs travel into a more directly diseased bladder specimen, we fixed the original top-fifty gene list, signs, sample mapping and a discovery-sign-matched gene-set null before reading GSE238208 expression values (</w:t>
      </w:r>
      <w:hyperlink r:id="rId256">
        <w:r>
          <w:rPr>
            <w:rStyle w:val="Hyperlink"/>
          </w:rPr>
          <w:t xml:space="preserve">https://www.ncbi.nlm.nih.gov/geo/query/acc.cgi?acc=GSE238208</w:t>
        </w:r>
      </w:hyperlink>
      <w:r>
        <w:rPr>
          <w:rFonts w:ascii="Times New Roman" w:hAnsi="Times New Roman"/>
        </w:rPr>
        <w:t xml:space="preserve">). The public historical series supplies paired Hunner lesions and nearby non-lesion mucosa from 25 people with Hunner-type interstitial cystitis, as well as 13 separate BCG-cystitis biopsies. The latter are not healthy controls and were excluded from the registered paired contrast. All 63 FPKM columns in the source workbook map by exact measurement ID to GEO GSM descriptions. Each pair was matched by Case1–Case25 and tissue site; fifty samples represent 25 people. Four fixed genes had no unique measured gene-symbol row, leaving 46 usable genes after discarding duplicate or malformed names.</w:t>
      </w:r>
    </w:p>
    <w:p>
      <w:pPr>
        <w:pStyle w:val="BodyText"/>
      </w:pPr>
      <w:r>
        <w:rPr>
          <w:rFonts w:ascii="Times New Roman" w:hAnsi="Times New Roman"/>
        </w:rPr>
        <w:t xml:space="preserve">For each of the 46, we computed the within-person mean lesion-minus-non-lesion</w:t>
      </w:r>
      <w:r>
        <w:rPr>
          <w:rFonts w:ascii="Times New Roman" w:hAnsi="Times New Roman"/>
        </w:rPr>
        <w:t xml:space="preserve"> </w:t>
      </w:r>
      <w:r>
        <w:rPr>
          <w:rFonts w:ascii="Times New Roman" w:hAnsi="Times New Roman"/>
        </w:rPr>
        <w:drawing>
          <wp:inline>
            <wp:extent cx="919480" cy="126683"/>
            <wp:effectExtent b="0" l="0" r="0" t="0"/>
            <wp:docPr descr="image" title="" id="1" name="Picture"/>
            <a:graphic>
              <a:graphicData uri="http://schemas.openxmlformats.org/drawingml/2006/picture">
                <pic:pic>
                  <pic:nvPicPr>
                    <pic:cNvPr descr="equations/in164.png" id="0" name="Picture"/>
                    <pic:cNvPicPr>
                      <a:picLocks noChangeArrowheads="1" noChangeAspect="1"/>
                    </pic:cNvPicPr>
                  </pic:nvPicPr>
                  <pic:blipFill>
                    <a:blip r:embed="rId220"/>
                    <a:stretch>
                      <a:fillRect/>
                    </a:stretch>
                  </pic:blipFill>
                  <pic:spPr bwMode="auto">
                    <a:xfrm>
                      <a:off x="0" y="0"/>
                      <a:ext cx="919480" cy="12668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effect and checked its sign against the frozen disease-discovery direction. Only 31/46 agree (67.4%). Among 10,000 seeded random gene sets preserving the original positive/negative discovery-sign counts and excluding the selected panel, the mean agreement was 55.5%; empirical one-sided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00.png" id="0" name="Picture"/>
                    <pic:cNvPicPr>
                      <a:picLocks noChangeArrowheads="1" noChangeAspect="1"/>
                    </pic:cNvPicPr>
                  </pic:nvPicPr>
                  <pic:blipFill>
                    <a:blip r:embed="rId257"/>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 registered descriptive support condition required at least forty measured, forty matching and</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037.png" id="0" name="Picture"/>
                    <pic:cNvPicPr>
                      <a:picLocks noChangeArrowheads="1" noChangeAspect="1"/>
                    </pic:cNvPicPr>
                  </pic:nvPicPr>
                  <pic:blipFill>
                    <a:blip r:embed="rId79"/>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so it</w:t>
      </w:r>
      <w:r>
        <w:rPr>
          <w:rFonts w:ascii="Times New Roman" w:hAnsi="Times New Roman"/>
        </w:rPr>
        <w:t xml:space="preserve"> </w:t>
      </w:r>
      <w:r>
        <w:rPr>
          <w:rFonts w:ascii="Times New Roman" w:hAnsi="Times New Roman"/>
          <w:i/>
        </w:rPr>
        <w:t xml:space="preserve">fails</w:t>
      </w:r>
      <w:r>
        <w:rPr>
          <w:rFonts w:ascii="Times New Roman" w:hAnsi="Times New Roman"/>
        </w:rPr>
        <w:t xml:space="preserve">. Nine of the paired gene tests have nominal</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035.png" id="0" name="Picture"/>
                    <pic:cNvPicPr>
                      <a:picLocks noChangeArrowheads="1" noChangeAspect="1"/>
                    </pic:cNvPicPr>
                  </pic:nvPicPr>
                  <pic:blipFill>
                    <a:blip r:embed="rId73"/>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but zero pass BH correction within the 46-gene measured panel. Exact paired GSM maps, selected gene outcomes, the sampled null, original matrix and expression SHA-256 hashes, and rerunnable code are in</w:t>
      </w:r>
      <w:r>
        <w:rPr>
          <w:rFonts w:ascii="Times New Roman" w:hAnsi="Times New Roman"/>
        </w:rPr>
        <w:t xml:space="preserve"> </w:t>
      </w:r>
      <w:r>
        <w:rPr>
          <w:rStyle w:val="VerbatimChar"/>
          <w:rFonts w:ascii="Times New Roman" w:hAnsi="Times New Roman"/>
        </w:rPr>
        <w:t xml:space="preserve">results/ic_p25_</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scripts/ic_p25_paired_transport.py</w:t>
      </w:r>
      <w:r>
        <w:rPr>
          <w:rFonts w:ascii="Times New Roman" w:hAnsi="Times New Roman"/>
        </w:rPr>
        <w:t xml:space="preserve">. The lesion-versus-non-lesion difference is neither patient-level IC diagnosis versus a healthy population nor an independent novelty claim: the published source already studied inflammatory polarization in Hunner lesions. This failure does not disprove all tissue-specific IC signals. It limits this particular panel’s proposed transport and is not a published-model benchmark comparison. We did not add these GSMs to the accession manifest without individual full-record verification.</w:t>
      </w:r>
    </w:p>
    <w:p>
      <w:pPr>
        <w:pStyle w:val="Heading1"/>
      </w:pPr>
      <w:bookmarkStart w:id="258" w:name="X17d43af9065173c76aec3bf70004b45822ae61b"/>
      <w:r>
        <w:rPr>
          <w:rFonts w:ascii="Times New Roman" w:hAnsi="Times New Roman"/>
        </w:rPr>
        <w:t xml:space="preserve">P26 untreated PCOS iPSC-MPC panel: another tissue-shift failure</w:t>
      </w:r>
      <w:bookmarkEnd w:id="258"/>
    </w:p>
    <w:p>
      <w:pPr>
        <w:pStyle w:val="FirstParagraph"/>
      </w:pPr>
      <w:r>
        <w:rPr>
          <w:rFonts w:ascii="Times New Roman" w:hAnsi="Times New Roman"/>
        </w:rPr>
        <w:t xml:space="preserve">The unchanged twenty-gene PCOS discovery panel was registered for a tissue-shift stress test before inspecting target expression in GSE267287 (</w:t>
      </w:r>
      <w:hyperlink r:id="rId259">
        <w:r>
          <w:rPr>
            <w:rStyle w:val="Hyperlink"/>
          </w:rPr>
          <w:t xml:space="preserve">https://www.ncbi.nlm.nih.gov/geo/query/acc.cgi?acc=GSE267287</w:t>
        </w:r>
      </w:hyperlink>
      <w:r>
        <w:rPr>
          <w:rFonts w:ascii="Times New Roman" w:hAnsi="Times New Roman"/>
        </w:rPr>
        <w:t xml:space="preserve">). Its published iPSC-derived mesenchymal progenitor cell (MPC) series contains four untreated PCOS-derived and four untreated control-derived cell lines, plus six testosterone-treated samples from some of the same donor-labelled lines. We compared only the eight untreated samples and excluded treated samples rather than inflating independence. GEO titles, disease and treatment characteristics map uniquely to every count header’s library description. The count table has 60,715 unique gene-ID rows, including 44 pseudoautosomal</w:t>
      </w:r>
      <w:r>
        <w:rPr>
          <w:rFonts w:ascii="Times New Roman" w:hAnsi="Times New Roman"/>
        </w:rPr>
        <w:t xml:space="preserve"> </w:t>
      </w:r>
      <w:r>
        <w:rPr>
          <w:rStyle w:val="VerbatimChar"/>
          <w:rFonts w:ascii="Times New Roman" w:hAnsi="Times New Roman"/>
        </w:rPr>
        <w:t xml:space="preserve">_PAR_Y</w:t>
      </w:r>
      <w:r>
        <w:rPr>
          <w:rFonts w:ascii="Times New Roman" w:hAnsi="Times New Roman"/>
        </w:rPr>
        <w:t xml:space="preserve"> </w:t>
      </w:r>
      <w:r>
        <w:rPr>
          <w:rFonts w:ascii="Times New Roman" w:hAnsi="Times New Roman"/>
        </w:rPr>
        <w:t xml:space="preserve">Ensembl suffixes; those were mapped by their stable ENSG ID and any coinciding gene symbols summed. Ambiguous HGNC Ensembl mappings were excluded. Gene CPM was based on full-library counts and a filter of CPM greater than one in at least 20% of primary libraries preceded</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effect estimation.</w:t>
      </w:r>
    </w:p>
    <w:p>
      <w:pPr>
        <w:pStyle w:val="BodyText"/>
      </w:pPr>
      <w:r>
        <w:rPr>
          <w:rFonts w:ascii="Times New Roman" w:hAnsi="Times New Roman"/>
        </w:rPr>
        <w:t xml:space="preserve">Eighteen of twenty frozen genes passed unique mapping and expression filters. Only ten of eighteen effects share the original discovery direction. In 10,000 seeded direction- and discovery-coverage-matched random panels, the expected count was 8.56 and the empirical one-sided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01.png" id="0" name="Picture"/>
                    <pic:cNvPicPr>
                      <a:picLocks noChangeArrowheads="1" noChangeAspect="1"/>
                    </pic:cNvPicPr>
                  </pic:nvPicPr>
                  <pic:blipFill>
                    <a:blip r:embed="rId26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 registered descriptive condition of at least fifteen measurable genes, fifteen agreeing signs and</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02.png" id="0" name="Picture"/>
                    <pic:cNvPicPr>
                      <a:picLocks noChangeArrowheads="1" noChangeAspect="1"/>
                    </pic:cNvPicPr>
                  </pic:nvPicPr>
                  <pic:blipFill>
                    <a:blip r:embed="rId26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therefore</w:t>
      </w:r>
      <w:r>
        <w:rPr>
          <w:rFonts w:ascii="Times New Roman" w:hAnsi="Times New Roman"/>
        </w:rPr>
        <w:t xml:space="preserve"> </w:t>
      </w:r>
      <w:r>
        <w:rPr>
          <w:rFonts w:ascii="Times New Roman" w:hAnsi="Times New Roman"/>
          <w:i/>
        </w:rPr>
        <w:t xml:space="preserve">fails</w:t>
      </w:r>
      <w:r>
        <w:rPr>
          <w:rFonts w:ascii="Times New Roman" w:hAnsi="Times New Roman"/>
        </w:rPr>
        <w:t xml:space="preserve">. Full gene-level effects, eight primary versus six excluded GSM mapping, sampled null, checksum-pinned source links and runnable script are in the P26 result ledger and runnable script in the repository. This negative does not overturn the separate small cumulus-cell positive, nor is an induced MPC line interchangeable with ovarian follicular granulosa cells. The historical study already investigated PCOS-associated cell dysfunction; no novel marker, patient-level diagnostic performance or published benchmark superiority follows. These fourteen GSMs were individually fetched and audited in the later P26/P27 accession addendum; the six treated libraries remain excluded from the primary contrast.</w:t>
      </w:r>
    </w:p>
    <w:p>
      <w:pPr>
        <w:pStyle w:val="Heading1"/>
      </w:pPr>
      <w:bookmarkStart w:id="262" w:name="Xaded073691e8834a66d338869e3e329925949e9"/>
      <w:r>
        <w:rPr>
          <w:rFonts w:ascii="Times New Roman" w:hAnsi="Times New Roman"/>
        </w:rPr>
        <w:t xml:space="preserve">P27 full-length granulosa isoform data: fixed PCOS panel fails</w:t>
      </w:r>
      <w:bookmarkEnd w:id="262"/>
    </w:p>
    <w:p>
      <w:pPr>
        <w:pStyle w:val="FirstParagraph"/>
      </w:pPr>
      <w:r>
        <w:rPr>
          <w:rFonts w:ascii="Times New Roman" w:hAnsi="Times New Roman"/>
        </w:rPr>
        <w:t xml:space="preserve">A separate small human granulosa-cell series, GSE294074 (</w:t>
      </w:r>
      <w:hyperlink r:id="rId263">
        <w:r>
          <w:rPr>
            <w:rStyle w:val="Hyperlink"/>
          </w:rPr>
          <w:t xml:space="preserve">https://www.ncbi.nlm.nih.gov/geo/query/acc.cgi?acc=GSE294074</w:t>
        </w:r>
      </w:hyperlink>
      <w:r>
        <w:rPr>
          <w:rFonts w:ascii="Times New Roman" w:hAnsi="Times New Roman"/>
        </w:rPr>
        <w:t xml:space="preserve">), deposited six individually named PacBio full-length transcript TPM tables and a functional-annotation table. Its associated paper documents third-generation Iso-Seq and an ovarian energy-metabolism hypothesis (</w:t>
      </w:r>
      <w:hyperlink r:id="rId264">
        <w:r>
          <w:rPr>
            <w:rStyle w:val="Hyperlink"/>
          </w:rPr>
          <w:t xml:space="preserve">https://pmc.ncbi.nlm.nih.gov/articles/PMC12127534/</w:t>
        </w:r>
      </w:hyperlink>
      <w:r>
        <w:rPr>
          <w:rFonts w:ascii="Times New Roman" w:hAnsi="Times New Roman"/>
        </w:rPr>
        <w:t xml:space="preserve">). Before opening its target expression, we registered the same twenty discovery-ranked PCOS genes, signs, 10,000 matched-gene null sets and</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203.png" id="0" name="Picture"/>
                    <pic:cNvPicPr>
                      <a:picLocks noChangeArrowheads="1" noChangeAspect="1"/>
                    </pic:cNvPicPr>
                  </pic:nvPicPr>
                  <pic:blipFill>
                    <a:blip r:embed="rId265"/>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threshold. The control titles Ctrl-1–3 correspond exactly to GSM8898319–21, and PCOS-1–3 to GSM8898322–24. They are different GSM and SRA accessions from the existing discovery series; nevertheless, participant overlap cannot be ruled out just from accession differences.</w:t>
      </w:r>
    </w:p>
    <w:p>
      <w:pPr>
        <w:pStyle w:val="BodyText"/>
      </w:pPr>
      <w:r>
        <w:rPr>
          <w:rFonts w:ascii="Times New Roman" w:hAnsi="Times New Roman"/>
        </w:rPr>
        <w:t xml:space="preserve">We assigned each deposited PB transcript to a gene only when the supplied SwissProt annotation contained a single human</w:t>
      </w:r>
      <w:r>
        <w:rPr>
          <w:rFonts w:ascii="Times New Roman" w:hAnsi="Times New Roman"/>
        </w:rPr>
        <w:t xml:space="preserve"> </w:t>
      </w:r>
      <w:r>
        <w:rPr>
          <w:rStyle w:val="VerbatimChar"/>
          <w:rFonts w:ascii="Times New Roman" w:hAnsi="Times New Roman"/>
        </w:rPr>
        <w:t xml:space="preserve">GN=</w:t>
      </w:r>
      <w:r>
        <w:rPr>
          <w:rFonts w:ascii="Times New Roman" w:hAnsi="Times New Roman"/>
        </w:rPr>
        <w:t xml:space="preserve"> </w:t>
      </w:r>
      <w:r>
        <w:rPr>
          <w:rFonts w:ascii="Times New Roman" w:hAnsi="Times New Roman"/>
        </w:rPr>
        <w:t xml:space="preserve">symbol. We aggregated its deposited TPM by symbol per specimen and used</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204.png" id="0" name="Picture"/>
                    <pic:cNvPicPr>
                      <a:picLocks noChangeArrowheads="1" noChangeAspect="1"/>
                    </pic:cNvPicPr>
                  </pic:nvPicPr>
                  <pic:blipFill>
                    <a:blip r:embed="rId266"/>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requiring TPM</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at least two of six specimens. The six transcript lists have only 2,068 PB identifiers in common and 145,088 in their union. Missing transcript-by-sample entries were zero-filled solely to aggregate the deposited TPM tables; these PB identifiers should not be treated as a shared quantitative transcript universe or proof of biological absence. Five frozen genes did not survive the unique mapping and expression/effect filter: CELA1, LIMCH1, AFAP1L1, F8A3 and ZNF282. Nine of fifteen measurable fixed genes matched the discovery direction; the matched-null mean was 7.2537, empirical one-sided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06.png" id="0" name="Picture"/>
                    <pic:cNvPicPr>
                      <a:picLocks noChangeArrowheads="1" noChangeAspect="1"/>
                    </pic:cNvPicPr>
                  </pic:nvPicPr>
                  <pic:blipFill>
                    <a:blip r:embed="rId268"/>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This fails registered descriptive support. The n=3/3 design, isoform annotation and table non-overlap limit any gene-level comparison; a standardized effect as large as MAP7D1</w:t>
      </w:r>
      <w:r>
        <w:rPr>
          <w:rFonts w:ascii="Times New Roman" w:hAnsi="Times New Roman"/>
        </w:rPr>
        <w:t xml:space="preserve"> </w:t>
      </w:r>
      <w:r>
        <w:rPr>
          <w:rFonts w:ascii="Times New Roman" w:hAnsi="Times New Roman"/>
        </w:rPr>
        <w:drawing>
          <wp:inline>
            <wp:extent cx="521969" cy="101947"/>
            <wp:effectExtent b="0" l="0" r="0" t="0"/>
            <wp:docPr descr="image" title="" id="1" name="Picture"/>
            <a:graphic>
              <a:graphicData uri="http://schemas.openxmlformats.org/drawingml/2006/picture">
                <pic:pic>
                  <pic:nvPicPr>
                    <pic:cNvPr descr="equations/in207.png" id="0" name="Picture"/>
                    <pic:cNvPicPr>
                      <a:picLocks noChangeArrowheads="1" noChangeAspect="1"/>
                    </pic:cNvPicPr>
                  </pic:nvPicPr>
                  <pic:blipFill>
                    <a:blip r:embed="rId269"/>
                    <a:stretch>
                      <a:fillRect/>
                    </a:stretch>
                  </pic:blipFill>
                  <pic:spPr bwMode="auto">
                    <a:xfrm>
                      <a:off x="0" y="0"/>
                      <a:ext cx="521969" cy="10194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reflects unstable tiny-group scaling, not a plausible clinical effect estimate. This adds neither a clinical PCOS biomarker nor a published benchmark win. All twenty gene decisions and 10,000 null draws are retained with the scripts.</w:t>
      </w:r>
    </w:p>
    <w:p>
      <w:pPr>
        <w:pStyle w:val="Heading1"/>
      </w:pPr>
      <w:bookmarkStart w:id="270" w:name="Xc60cea13d5e03100653bc68fe2859af2b39ad24"/>
      <w:r>
        <w:rPr>
          <w:rFonts w:ascii="Times New Roman" w:hAnsi="Times New Roman"/>
        </w:rPr>
        <w:t xml:space="preserve">P28 cross-parasite leishmaniasis lesion test: the panel fails</w:t>
      </w:r>
      <w:bookmarkEnd w:id="270"/>
    </w:p>
    <w:p>
      <w:pPr>
        <w:pStyle w:val="FirstParagraph"/>
      </w:pPr>
      <w:r>
        <w:rPr>
          <w:rFonts w:ascii="Times New Roman" w:hAnsi="Times New Roman"/>
        </w:rPr>
        <w:t xml:space="preserve">To shift the prospective work beyond PCOS, we locked twenty leishmaniasis genes having at least two original discovery cohorts and BH</w:t>
      </w:r>
      <w:r>
        <w:rPr>
          <w:rFonts w:ascii="Times New Roman" w:hAnsi="Times New Roman"/>
        </w:rPr>
        <w:t xml:space="preserve"> </w:t>
      </w:r>
      <w:r>
        <w:rPr>
          <w:rFonts w:ascii="Times New Roman" w:hAnsi="Times New Roman"/>
        </w:rPr>
        <w:drawing>
          <wp:inline>
            <wp:extent cx="391160" cy="101864"/>
            <wp:effectExtent b="0" l="0" r="0" t="0"/>
            <wp:docPr descr="image" title="" id="1" name="Picture"/>
            <a:graphic>
              <a:graphicData uri="http://schemas.openxmlformats.org/drawingml/2006/picture">
                <pic:pic>
                  <pic:nvPicPr>
                    <pic:cNvPr descr="equations/in208.png" id="0" name="Picture"/>
                    <pic:cNvPicPr>
                      <a:picLocks noChangeArrowheads="1" noChangeAspect="1"/>
                    </pic:cNvPicPr>
                  </pic:nvPicPr>
                  <pic:blipFill>
                    <a:blip r:embed="rId271"/>
                    <a:stretch>
                      <a:fillRect/>
                    </a:stretch>
                  </pic:blipFill>
                  <pic:spPr bwMode="auto">
                    <a:xfrm>
                      <a:off x="0" y="0"/>
                      <a:ext cx="391160" cy="101864"/>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before inspecting GSE216638 target expression (</w:t>
      </w:r>
      <w:hyperlink r:id="rId272">
        <w:r>
          <w:rPr>
            <w:rStyle w:val="Hyperlink"/>
          </w:rPr>
          <w:t xml:space="preserve">https://www.ncbi.nlm.nih.gov/geo/query/acc.cgi?acc=GSE216638</w:t>
        </w:r>
      </w:hyperlink>
      <w:r>
        <w:rPr>
          <w:rFonts w:ascii="Times New Roman" w:hAnsi="Times New Roman"/>
        </w:rPr>
        <w:t xml:space="preserve">). The associated publication studied</w:t>
      </w:r>
      <w:r>
        <w:rPr>
          <w:rFonts w:ascii="Times New Roman" w:hAnsi="Times New Roman"/>
        </w:rPr>
        <w:t xml:space="preserve"> </w:t>
      </w:r>
      <w:r>
        <w:rPr>
          <w:rFonts w:ascii="Times New Roman" w:hAnsi="Times New Roman"/>
          <w:i/>
        </w:rPr>
        <w:t xml:space="preserve">Leishmania tropica</w:t>
      </w:r>
      <w:r>
        <w:rPr>
          <w:rFonts w:ascii="Times New Roman" w:hAnsi="Times New Roman"/>
        </w:rPr>
        <w:t xml:space="preserve"> </w:t>
      </w:r>
      <w:r>
        <w:rPr>
          <w:rFonts w:ascii="Times New Roman" w:hAnsi="Times New Roman"/>
        </w:rPr>
        <w:t xml:space="preserve">skin lesions (</w:t>
      </w:r>
      <w:hyperlink r:id="rId273">
        <w:r>
          <w:rPr>
            <w:rStyle w:val="Hyperlink"/>
          </w:rPr>
          <w:t xml:space="preserve">https://www.nature.com/articles/s41598-020-72671-7/</w:t>
        </w:r>
      </w:hyperlink>
      <w:r>
        <w:rPr>
          <w:rFonts w:ascii="Times New Roman" w:hAnsi="Times New Roman"/>
        </w:rPr>
        <w:t xml:space="preserve">); the historical gene panel derived largely from</w:t>
      </w:r>
      <w:r>
        <w:rPr>
          <w:rFonts w:ascii="Times New Roman" w:hAnsi="Times New Roman"/>
        </w:rPr>
        <w:t xml:space="preserve"> </w:t>
      </w:r>
      <w:r>
        <w:rPr>
          <w:rFonts w:ascii="Times New Roman" w:hAnsi="Times New Roman"/>
          <w:i/>
        </w:rPr>
        <w:t xml:space="preserve">L. braziliensis</w:t>
      </w:r>
      <w:r>
        <w:rPr>
          <w:rFonts w:ascii="Times New Roman" w:hAnsi="Times New Roman"/>
        </w:rPr>
        <w:t xml:space="preserve"> </w:t>
      </w:r>
      <w:r>
        <w:rPr>
          <w:rFonts w:ascii="Times New Roman" w:hAnsi="Times New Roman"/>
        </w:rPr>
        <w:t xml:space="preserve">case-control studies. Exact count-workbook letter columns match the twenty-two GEO specimen-title prefixes and distinct GSMs: seven untreated ulcerative lesions, nine untreated non-ulcerative lesions and six healthy skin controls. Our initial registration incorrectly described an eight/eight ulcerative split; we corrected it in a separate remote commit before expression outcomes, leaving the pooled sixteen-versus-six endpoint unchanged. The supplemental workbook contains both actual integer raw-count columns and already analyzed DE result columns; only the former entered our test. Thirty-three duplicated symbols and one slash-joined annotation were excluded rather than assigned an arbitrary row. We computed</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with CPM</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at least 20% of specimens, then lesion-minus-control Hedges</w:t>
      </w:r>
      <w:r>
        <w:rPr>
          <w:rFonts w:ascii="Times New Roman" w:hAnsi="Times New Roman"/>
        </w:rPr>
        <w:t xml:space="preserve"> </w:t>
      </w:r>
      <w:r>
        <w:rPr>
          <w:rFonts w:ascii="Times New Roman" w:hAnsi="Times New Roman"/>
        </w:rPr>
        <w:drawing>
          <wp:inline>
            <wp:extent cx="64769" cy="77723"/>
            <wp:effectExtent b="0" l="0" r="0" t="0"/>
            <wp:docPr descr="image" title="" id="1" name="Picture"/>
            <a:graphic>
              <a:graphicData uri="http://schemas.openxmlformats.org/drawingml/2006/picture">
                <pic:pic>
                  <pic:nvPicPr>
                    <pic:cNvPr descr="equations/in002.png" id="0" name="Picture"/>
                    <pic:cNvPicPr>
                      <a:picLocks noChangeArrowheads="1" noChangeAspect="1"/>
                    </pic:cNvPicPr>
                  </pic:nvPicPr>
                  <pic:blipFill>
                    <a:blip r:embed="rId26"/>
                    <a:stretch>
                      <a:fillRect/>
                    </a:stretch>
                  </pic:blipFill>
                  <pic:spPr bwMode="auto">
                    <a:xfrm>
                      <a:off x="0" y="0"/>
                      <a:ext cx="64769" cy="7772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Welch tests.</w:t>
      </w:r>
    </w:p>
    <w:p>
      <w:pPr>
        <w:pStyle w:val="BodyText"/>
      </w:pPr>
      <w:r>
        <w:rPr>
          <w:rFonts w:ascii="Times New Roman" w:hAnsi="Times New Roman"/>
        </w:rPr>
        <w:t xml:space="preserve">Eighteen frozen genes were measurable; CCL2 and CCR4 were unavailable after unique-mapping/expression filtering. Eleven of eighteen effect signs matched the historical discovery. The 10,000 seeded, direction- and discovery-coverage-matched unselected-gene panels averaged 11.2201 matching signs; one-sided empirical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09.png" id="0" name="Picture"/>
                    <pic:cNvPicPr>
                      <a:picLocks noChangeArrowheads="1" noChangeAspect="1"/>
                    </pic:cNvPicPr>
                  </pic:nvPicPr>
                  <pic:blipFill>
                    <a:blip r:embed="rId274"/>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 registered rule of at least fifteen matching signs, fifteen measurable genes, and</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02.png" id="0" name="Picture"/>
                    <pic:cNvPicPr>
                      <a:picLocks noChangeArrowheads="1" noChangeAspect="1"/>
                    </pic:cNvPicPr>
                  </pic:nvPicPr>
                  <pic:blipFill>
                    <a:blip r:embed="rId26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therefore fails. Two measured-panel individual Welch tests pass a within-panel BH correction, PON2 down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10.png" id="0" name="Picture"/>
                    <pic:cNvPicPr>
                      <a:picLocks noChangeArrowheads="1" noChangeAspect="1"/>
                    </pic:cNvPicPr>
                  </pic:nvPicPr>
                  <pic:blipFill>
                    <a:blip r:embed="rId27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867410" cy="126838"/>
            <wp:effectExtent b="0" l="0" r="0" t="0"/>
            <wp:docPr descr="image" title="" id="1" name="Picture"/>
            <a:graphic>
              <a:graphicData uri="http://schemas.openxmlformats.org/drawingml/2006/picture">
                <pic:pic>
                  <pic:nvPicPr>
                    <pic:cNvPr descr="equations/in211.png" id="0" name="Picture"/>
                    <pic:cNvPicPr>
                      <a:picLocks noChangeArrowheads="1" noChangeAspect="1"/>
                    </pic:cNvPicPr>
                  </pic:nvPicPr>
                  <pic:blipFill>
                    <a:blip r:embed="rId276"/>
                    <a:stretch>
                      <a:fillRect/>
                    </a:stretch>
                  </pic:blipFill>
                  <pic:spPr bwMode="auto">
                    <a:xfrm>
                      <a:off x="0" y="0"/>
                      <a:ext cx="867410" cy="126838"/>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864869" cy="126466"/>
            <wp:effectExtent b="0" l="0" r="0" t="0"/>
            <wp:docPr descr="image" title="" id="1" name="Picture"/>
            <a:graphic>
              <a:graphicData uri="http://schemas.openxmlformats.org/drawingml/2006/picture">
                <pic:pic>
                  <pic:nvPicPr>
                    <pic:cNvPr descr="equations/in212.png" id="0" name="Picture"/>
                    <pic:cNvPicPr>
                      <a:picLocks noChangeArrowheads="1" noChangeAspect="1"/>
                    </pic:cNvPicPr>
                  </pic:nvPicPr>
                  <pic:blipFill>
                    <a:blip r:embed="rId277"/>
                    <a:stretch>
                      <a:fillRect/>
                    </a:stretch>
                  </pic:blipFill>
                  <pic:spPr bwMode="auto">
                    <a:xfrm>
                      <a:off x="0" y="0"/>
                      <a:ext cx="864869" cy="126466"/>
                    </a:xfrm>
                    <a:prstGeom prst="rect">
                      <a:avLst/>
                    </a:prstGeom>
                    <a:noFill/>
                    <a:ln w="9525">
                      <a:noFill/>
                      <a:headEnd/>
                      <a:tailEnd/>
                    </a:ln>
                  </pic:spPr>
                </pic:pic>
              </a:graphicData>
            </a:graphic>
          </wp:inline>
        </w:drawing>
      </w:r>
      <w:r>
        <w:rPr>
          <w:rFonts w:ascii="Times New Roman" w:hAnsi="Times New Roman"/>
        </w:rPr>
        <w:t xml:space="preserve">) and CACNA2D2 down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13.png" id="0" name="Picture"/>
                    <pic:cNvPicPr>
                      <a:picLocks noChangeArrowheads="1" noChangeAspect="1"/>
                    </pic:cNvPicPr>
                  </pic:nvPicPr>
                  <pic:blipFill>
                    <a:blip r:embed="rId278"/>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14.png" id="0" name="Picture"/>
                    <pic:cNvPicPr>
                      <a:picLocks noChangeArrowheads="1" noChangeAspect="1"/>
                    </pic:cNvPicPr>
                  </pic:nvPicPr>
                  <pic:blipFill>
                    <a:blip r:embed="rId27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1660" cy="101688"/>
            <wp:effectExtent b="0" l="0" r="0" t="0"/>
            <wp:docPr descr="image" title="" id="1" name="Picture"/>
            <a:graphic>
              <a:graphicData uri="http://schemas.openxmlformats.org/drawingml/2006/picture">
                <pic:pic>
                  <pic:nvPicPr>
                    <pic:cNvPr descr="equations/in215.png" id="0" name="Picture"/>
                    <pic:cNvPicPr>
                      <a:picLocks noChangeArrowheads="1" noChangeAspect="1"/>
                    </pic:cNvPicPr>
                  </pic:nvPicPr>
                  <pic:blipFill>
                    <a:blip r:embed="rId280"/>
                    <a:stretch>
                      <a:fillRect/>
                    </a:stretch>
                  </pic:blipFill>
                  <pic:spPr bwMode="auto">
                    <a:xfrm>
                      <a:off x="0" y="0"/>
                      <a:ext cx="581660" cy="101688"/>
                    </a:xfrm>
                    <a:prstGeom prst="rect">
                      <a:avLst/>
                    </a:prstGeom>
                    <a:noFill/>
                    <a:ln w="9525">
                      <a:noFill/>
                      <a:headEnd/>
                      <a:tailEnd/>
                    </a:ln>
                  </pic:spPr>
                </pic:pic>
              </a:graphicData>
            </a:graphic>
          </wp:inline>
        </w:drawing>
      </w:r>
      <w:r>
        <w:rPr>
          <w:rFonts w:ascii="Times New Roman" w:hAnsi="Times New Roman"/>
        </w:rPr>
        <w:t xml:space="preserve">). Those genes were selected after historical disease outcomes and cannot be called fresh discoveries or parasite-specific clinical markers. The failed panel is more informative than spotlighting its two survivors. We preserve all twenty gene outcomes, six controls, sixteen lesion labels, exact source checksums and the sampled null in machine-readable outputs. Different parasite species, specimen mixtures and possible inflammatory confounding prevent a causal reading of concordance or its failure; distinct accession records do not alone prove unrelated participants.</w:t>
      </w:r>
    </w:p>
    <w:p>
      <w:pPr>
        <w:pStyle w:val="Heading1"/>
      </w:pPr>
      <w:bookmarkStart w:id="281" w:name="X7002c63243d77f53f47df78f31b43e7c3e8032e"/>
      <w:r>
        <w:rPr>
          <w:rFonts w:ascii="Times New Roman" w:hAnsi="Times New Roman"/>
        </w:rPr>
        <w:t xml:space="preserve">P29 ME/CFS leukocyte-to-plasma cfRNA: panel fails</w:t>
      </w:r>
      <w:bookmarkEnd w:id="281"/>
    </w:p>
    <w:p>
      <w:pPr>
        <w:pStyle w:val="FirstParagraph"/>
      </w:pPr>
      <w:r>
        <w:rPr>
          <w:rFonts w:ascii="Times New Roman" w:hAnsi="Times New Roman"/>
        </w:rPr>
        <w:t xml:space="preserve">Before examining the GSE293840 target matrix (</w:t>
      </w:r>
      <w:hyperlink r:id="rId282">
        <w:r>
          <w:rPr>
            <w:rStyle w:val="Hyperlink"/>
          </w:rPr>
          <w:t xml:space="preserve">https://www.ncbi.nlm.nih.gov/geo/query/acc.cgi?acc=GSE293840</w:t>
        </w:r>
      </w:hyperlink>
      <w:r>
        <w:rPr>
          <w:rFonts w:ascii="Times New Roman" w:hAnsi="Times New Roman"/>
        </w:rPr>
        <w:t xml:space="preserve">), we froze all sixteen ME/CFS discovery genes having two original studies and BH</w:t>
      </w:r>
      <w:r>
        <w:rPr>
          <w:rFonts w:ascii="Times New Roman" w:hAnsi="Times New Roman"/>
        </w:rPr>
        <w:t xml:space="preserve"> </w:t>
      </w:r>
      <w:r>
        <w:rPr>
          <w:rFonts w:ascii="Times New Roman" w:hAnsi="Times New Roman"/>
        </w:rPr>
        <w:drawing>
          <wp:inline>
            <wp:extent cx="391160" cy="101864"/>
            <wp:effectExtent b="0" l="0" r="0" t="0"/>
            <wp:docPr descr="image" title="" id="1" name="Picture"/>
            <a:graphic>
              <a:graphicData uri="http://schemas.openxmlformats.org/drawingml/2006/picture">
                <pic:pic>
                  <pic:nvPicPr>
                    <pic:cNvPr descr="equations/in208.png" id="0" name="Picture"/>
                    <pic:cNvPicPr>
                      <a:picLocks noChangeArrowheads="1" noChangeAspect="1"/>
                    </pic:cNvPicPr>
                  </pic:nvPicPr>
                  <pic:blipFill>
                    <a:blip r:embed="rId271"/>
                    <a:stretch>
                      <a:fillRect/>
                    </a:stretch>
                  </pic:blipFill>
                  <pic:spPr bwMode="auto">
                    <a:xfrm>
                      <a:off x="0" y="0"/>
                      <a:ext cx="391160" cy="101864"/>
                    </a:xfrm>
                    <a:prstGeom prst="rect">
                      <a:avLst/>
                    </a:prstGeom>
                    <a:noFill/>
                    <a:ln w="9525">
                      <a:noFill/>
                      <a:headEnd/>
                      <a:tailEnd/>
                    </a:ln>
                  </pic:spPr>
                </pic:pic>
              </a:graphicData>
            </a:graphic>
          </wp:inline>
        </w:drawing>
      </w:r>
      <w:r>
        <w:rPr>
          <w:rFonts w:ascii="Times New Roman" w:hAnsi="Times New Roman"/>
        </w:rPr>
        <w:t xml:space="preserve">, with their historical signs and a direction/coverage-matched 10,000-gene-set null. The new deposit provides plasma cell-free RNA counts from 93 ME/CFS cases and 75 sedentary controls, each mapped to a unique GEO GSM, title subject token and raw-count column token. This is a different assay from the original leukocyte arrays, not a direct technical replication. We mapped version-stripped Ensembl IDs through the project’s HGNC reference, excluded ambiguous maps, summed gene counts and calculated</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after a CPM</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20% filter. Three of the frozen genes (HIST1H3E, PTGER1 and RSG1) failed unique mapping or expression/effect filtering. Only five of the thirteen measurable genes matched the historical direction; the seeded null mean was 6.5439 and one-sided empirical</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16.png" id="0" name="Picture"/>
                    <pic:cNvPicPr>
                      <a:picLocks noChangeArrowheads="1" noChangeAspect="1"/>
                    </pic:cNvPicPr>
                  </pic:nvPicPr>
                  <pic:blipFill>
                    <a:blip r:embed="rId28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The registered rule of at least twelve measurable, twelve matching signs and</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203.png" id="0" name="Picture"/>
                    <pic:cNvPicPr>
                      <a:picLocks noChangeArrowheads="1" noChangeAspect="1"/>
                    </pic:cNvPicPr>
                  </pic:nvPicPr>
                  <pic:blipFill>
                    <a:blip r:embed="rId265"/>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fails.</w:t>
      </w:r>
    </w:p>
    <w:p>
      <w:pPr>
        <w:pStyle w:val="BodyText"/>
      </w:pPr>
      <w:r>
        <w:rPr>
          <w:rFonts w:ascii="Times New Roman" w:hAnsi="Times New Roman"/>
        </w:rPr>
        <w:t xml:space="preserve">Five measured-panel Welch tests passed within-panel BH</w:t>
      </w:r>
      <w:r>
        <w:rPr>
          <w:rFonts w:ascii="Times New Roman" w:hAnsi="Times New Roman"/>
        </w:rPr>
        <w:t xml:space="preserve"> </w:t>
      </w:r>
      <w:r>
        <w:rPr>
          <w:rFonts w:ascii="Times New Roman" w:hAnsi="Times New Roman"/>
        </w:rPr>
        <w:drawing>
          <wp:inline>
            <wp:extent cx="391160" cy="101864"/>
            <wp:effectExtent b="0" l="0" r="0" t="0"/>
            <wp:docPr descr="image" title="" id="1" name="Picture"/>
            <a:graphic>
              <a:graphicData uri="http://schemas.openxmlformats.org/drawingml/2006/picture">
                <pic:pic>
                  <pic:nvPicPr>
                    <pic:cNvPr descr="equations/in208.png" id="0" name="Picture"/>
                    <pic:cNvPicPr>
                      <a:picLocks noChangeArrowheads="1" noChangeAspect="1"/>
                    </pic:cNvPicPr>
                  </pic:nvPicPr>
                  <pic:blipFill>
                    <a:blip r:embed="rId271"/>
                    <a:stretch>
                      <a:fillRect/>
                    </a:stretch>
                  </pic:blipFill>
                  <pic:spPr bwMode="auto">
                    <a:xfrm>
                      <a:off x="0" y="0"/>
                      <a:ext cx="391160" cy="101864"/>
                    </a:xfrm>
                    <a:prstGeom prst="rect">
                      <a:avLst/>
                    </a:prstGeom>
                    <a:noFill/>
                    <a:ln w="9525">
                      <a:noFill/>
                      <a:headEnd/>
                      <a:tailEnd/>
                    </a:ln>
                  </pic:spPr>
                </pic:pic>
              </a:graphicData>
            </a:graphic>
          </wp:inline>
        </w:drawing>
      </w:r>
      <w:r>
        <w:rPr>
          <w:rFonts w:ascii="Times New Roman" w:hAnsi="Times New Roman"/>
        </w:rPr>
        <w:t xml:space="preserve">, but KCNC3, NEU3 and COQ3 reversed historical direction; only RTF1 and WIPF2 agree. The full per-gene table retains effects, nominal</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within-panel</w:t>
      </w:r>
      <w:r>
        <w:rPr>
          <w:rFonts w:ascii="Times New Roman" w:hAnsi="Times New Roman"/>
        </w:rPr>
        <w:t xml:space="preserve"> </w:t>
      </w:r>
      <w:r>
        <w:rPr>
          <w:rFonts w:ascii="Times New Roman" w:hAnsi="Times New Roman"/>
        </w:rPr>
        <w:drawing>
          <wp:inline>
            <wp:extent cx="60960" cy="73152"/>
            <wp:effectExtent b="0" l="0" r="0" t="0"/>
            <wp:docPr descr="image" title="" id="1" name="Picture"/>
            <a:graphic>
              <a:graphicData uri="http://schemas.openxmlformats.org/drawingml/2006/picture">
                <pic:pic>
                  <pic:nvPicPr>
                    <pic:cNvPr descr="equations/in217.png" id="0" name="Picture"/>
                    <pic:cNvPicPr>
                      <a:picLocks noChangeArrowheads="1" noChangeAspect="1"/>
                    </pic:cNvPicPr>
                  </pic:nvPicPr>
                  <pic:blipFill>
                    <a:blip r:embed="rId284"/>
                    <a:stretch>
                      <a:fillRect/>
                    </a:stretch>
                  </pic:blipFill>
                  <pic:spPr bwMode="auto">
                    <a:xfrm>
                      <a:off x="0" y="0"/>
                      <a:ext cx="60960" cy="73152"/>
                    </a:xfrm>
                    <a:prstGeom prst="rect">
                      <a:avLst/>
                    </a:prstGeom>
                    <a:noFill/>
                    <a:ln w="9525">
                      <a:noFill/>
                      <a:headEnd/>
                      <a:tailEnd/>
                    </a:ln>
                  </pic:spPr>
                </pic:pic>
              </a:graphicData>
            </a:graphic>
          </wp:inline>
        </w:drawing>
      </w:r>
      <w:r>
        <w:rPr>
          <w:rFonts w:ascii="Times New Roman" w:hAnsi="Times New Roman"/>
        </w:rPr>
        <w:t xml:space="preserve">, and missingness. Batch-specific matching counts are 6/13, 7/13 and 5/13, site-specific counts 6/13, 6/13 and 4/13, and female/male counts 5/13 and 6/13. These strata each have at least three cases and controls; 104 gene-stratum effects are stored, not screened for a favorable result. The series describes a 0.81 held-out AUC for its own cfRNA classifier, but our sign-transport panel is neither the same model nor its held-out patient split, so no numerical head-to-head or state-of-the-art break follows. The target study was already published, and selection on old outcomes rules out a novel-marker claim from individual target</w:t>
      </w:r>
      <w:r>
        <w:rPr>
          <w:rFonts w:ascii="Times New Roman" w:hAnsi="Times New Roman"/>
        </w:rPr>
        <w:t xml:space="preserve"> </w:t>
      </w:r>
      <w:r>
        <w:rPr>
          <w:rFonts w:ascii="Times New Roman" w:hAnsi="Times New Roman"/>
        </w:rPr>
        <w:drawing>
          <wp:inline>
            <wp:extent cx="60960" cy="73152"/>
            <wp:effectExtent b="0" l="0" r="0" t="0"/>
            <wp:docPr descr="image" title="" id="1" name="Picture"/>
            <a:graphic>
              <a:graphicData uri="http://schemas.openxmlformats.org/drawingml/2006/picture">
                <pic:pic>
                  <pic:nvPicPr>
                    <pic:cNvPr descr="equations/in217.png" id="0" name="Picture"/>
                    <pic:cNvPicPr>
                      <a:picLocks noChangeArrowheads="1" noChangeAspect="1"/>
                    </pic:cNvPicPr>
                  </pic:nvPicPr>
                  <pic:blipFill>
                    <a:blip r:embed="rId284"/>
                    <a:stretch>
                      <a:fillRect/>
                    </a:stretch>
                  </pic:blipFill>
                  <pic:spPr bwMode="auto">
                    <a:xfrm>
                      <a:off x="0" y="0"/>
                      <a:ext cx="60960" cy="7315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values alone.</w:t>
      </w:r>
    </w:p>
    <w:p>
      <w:pPr>
        <w:pStyle w:val="Heading1"/>
      </w:pPr>
      <w:bookmarkStart w:id="285" w:name="Xa6842fec97edeb7e81b87b53933b97d39adaf6f"/>
      <w:r>
        <w:rPr>
          <w:rFonts w:ascii="Times New Roman" w:hAnsi="Times New Roman"/>
        </w:rPr>
        <w:t xml:space="preserve">P30 two selected leishmaniasis genes: descriptive recurrence, not discovery</w:t>
      </w:r>
      <w:bookmarkEnd w:id="285"/>
    </w:p>
    <w:p>
      <w:pPr>
        <w:pStyle w:val="FirstParagraph"/>
      </w:pPr>
      <w:r>
        <w:rPr>
          <w:rFonts w:ascii="Times New Roman" w:hAnsi="Times New Roman"/>
        </w:rPr>
        <w:t xml:space="preserve">After P28 failed as a twenty-gene panel, two old-outcome-selected genes alone, PON2 and CACNA2D2, had passed the within-panel correction in the historical direction. We explicitly registered a</w:t>
      </w:r>
      <w:r>
        <w:rPr>
          <w:rFonts w:ascii="Times New Roman" w:hAnsi="Times New Roman"/>
        </w:rPr>
        <w:t xml:space="preserve"> </w:t>
      </w:r>
      <w:r>
        <w:rPr>
          <w:rFonts w:ascii="Times New Roman" w:hAnsi="Times New Roman"/>
          <w:i/>
        </w:rPr>
        <w:t xml:space="preserve">post-selection</w:t>
      </w:r>
      <w:r>
        <w:rPr>
          <w:rFonts w:ascii="Times New Roman" w:hAnsi="Times New Roman"/>
        </w:rPr>
        <w:t xml:space="preserve"> </w:t>
      </w:r>
      <w:r>
        <w:rPr>
          <w:rFonts w:ascii="Times New Roman" w:hAnsi="Times New Roman"/>
        </w:rPr>
        <w:t xml:space="preserve">descriptive follow-up in GSE214397 (</w:t>
      </w:r>
      <w:hyperlink r:id="rId286">
        <w:r>
          <w:rPr>
            <w:rStyle w:val="Hyperlink"/>
          </w:rPr>
          <w:t xml:space="preserve">https://www.ncbi.nlm.nih.gov/geo/query/acc.cgi?acc=GSE214397</w:t>
        </w:r>
      </w:hyperlink>
      <w:r>
        <w:rPr>
          <w:rFonts w:ascii="Times New Roman" w:hAnsi="Times New Roman"/>
        </w:rPr>
        <w:t xml:space="preserve">) before opening its expression matrix. Its 51</w:t>
      </w:r>
      <w:r>
        <w:rPr>
          <w:rFonts w:ascii="Times New Roman" w:hAnsi="Times New Roman"/>
        </w:rPr>
        <w:t xml:space="preserve"> </w:t>
      </w:r>
      <w:r>
        <w:rPr>
          <w:rFonts w:ascii="Times New Roman" w:hAnsi="Times New Roman"/>
          <w:i/>
        </w:rPr>
        <w:t xml:space="preserve">L. braziliensis</w:t>
      </w:r>
      <w:r>
        <w:rPr>
          <w:rFonts w:ascii="Times New Roman" w:hAnsi="Times New Roman"/>
        </w:rPr>
        <w:t xml:space="preserve"> </w:t>
      </w:r>
      <w:r>
        <w:rPr>
          <w:rFonts w:ascii="Times New Roman" w:hAnsi="Times New Roman"/>
        </w:rPr>
        <w:t xml:space="preserve">lesion biopsies and six intact healthy-skin biopsies map exactly from processed filtered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 columns to distinct patient/healthy GEO titles and GSMs. The file labelled raw counts contains noninteger values, so we used the predeclared processed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 without re-normalizing. Both fixed genes are uniquely present and down in lesions. PON2 has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18.png" id="0" name="Picture"/>
                    <pic:cNvPicPr>
                      <a:picLocks noChangeArrowheads="1" noChangeAspect="1"/>
                    </pic:cNvPicPr>
                  </pic:nvPicPr>
                  <pic:blipFill>
                    <a:blip r:embed="rId287"/>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Welch two-sided</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219.png" id="0" name="Picture"/>
                    <pic:cNvPicPr>
                      <a:picLocks noChangeArrowheads="1" noChangeAspect="1"/>
                    </pic:cNvPicPr>
                  </pic:nvPicPr>
                  <pic:blipFill>
                    <a:blip r:embed="rId288"/>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and a case-minus-control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 difference -1.135 with Welch 95% CI</w:t>
      </w:r>
      <w:r>
        <w:rPr>
          <w:rFonts w:ascii="Times New Roman" w:hAnsi="Times New Roman"/>
        </w:rPr>
        <w:t xml:space="preserve"> </w:t>
      </w:r>
      <w:r>
        <w:rPr>
          <w:rFonts w:ascii="Times New Roman" w:hAnsi="Times New Roman"/>
        </w:rPr>
        <w:drawing>
          <wp:inline>
            <wp:extent cx="836930" cy="125945"/>
            <wp:effectExtent b="0" l="0" r="0" t="0"/>
            <wp:docPr descr="image" title="" id="1" name="Picture"/>
            <a:graphic>
              <a:graphicData uri="http://schemas.openxmlformats.org/drawingml/2006/picture">
                <pic:pic>
                  <pic:nvPicPr>
                    <pic:cNvPr descr="equations/in221.png" id="0" name="Picture"/>
                    <pic:cNvPicPr>
                      <a:picLocks noChangeArrowheads="1" noChangeAspect="1"/>
                    </pic:cNvPicPr>
                  </pic:nvPicPr>
                  <pic:blipFill>
                    <a:blip r:embed="rId289"/>
                    <a:stretch>
                      <a:fillRect/>
                    </a:stretch>
                  </pic:blipFill>
                  <pic:spPr bwMode="auto">
                    <a:xfrm>
                      <a:off x="0" y="0"/>
                      <a:ext cx="836930" cy="125945"/>
                    </a:xfrm>
                    <a:prstGeom prst="rect">
                      <a:avLst/>
                    </a:prstGeom>
                    <a:noFill/>
                    <a:ln w="9525">
                      <a:noFill/>
                      <a:headEnd/>
                      <a:tailEnd/>
                    </a:ln>
                  </pic:spPr>
                </pic:pic>
              </a:graphicData>
            </a:graphic>
          </wp:inline>
        </w:drawing>
      </w:r>
      <w:r>
        <w:rPr>
          <w:rFonts w:ascii="Times New Roman" w:hAnsi="Times New Roman"/>
        </w:rPr>
        <w:t xml:space="preserve">. CACNA2D2 has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22.png" id="0" name="Picture"/>
                    <pic:cNvPicPr>
                      <a:picLocks noChangeArrowheads="1" noChangeAspect="1"/>
                    </pic:cNvPicPr>
                  </pic:nvPicPr>
                  <pic:blipFill>
                    <a:blip r:embed="rId29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223.png" id="0" name="Picture"/>
                    <pic:cNvPicPr>
                      <a:picLocks noChangeArrowheads="1" noChangeAspect="1"/>
                    </pic:cNvPicPr>
                  </pic:nvPicPr>
                  <pic:blipFill>
                    <a:blip r:embed="rId291"/>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difference -1.602 and CI</w:t>
      </w:r>
      <w:r>
        <w:rPr>
          <w:rFonts w:ascii="Times New Roman" w:hAnsi="Times New Roman"/>
        </w:rPr>
        <w:t xml:space="preserve"> </w:t>
      </w:r>
      <w:r>
        <w:rPr>
          <w:rFonts w:ascii="Times New Roman" w:hAnsi="Times New Roman"/>
        </w:rPr>
        <w:drawing>
          <wp:inline>
            <wp:extent cx="899160" cy="126126"/>
            <wp:effectExtent b="0" l="0" r="0" t="0"/>
            <wp:docPr descr="image" title="" id="1" name="Picture"/>
            <a:graphic>
              <a:graphicData uri="http://schemas.openxmlformats.org/drawingml/2006/picture">
                <pic:pic>
                  <pic:nvPicPr>
                    <pic:cNvPr descr="equations/in225.png" id="0" name="Picture"/>
                    <pic:cNvPicPr>
                      <a:picLocks noChangeArrowheads="1" noChangeAspect="1"/>
                    </pic:cNvPicPr>
                  </pic:nvPicPr>
                  <pic:blipFill>
                    <a:blip r:embed="rId292"/>
                    <a:stretch>
                      <a:fillRect/>
                    </a:stretch>
                  </pic:blipFill>
                  <pic:spPr bwMode="auto">
                    <a:xfrm>
                      <a:off x="0" y="0"/>
                      <a:ext cx="899160" cy="126126"/>
                    </a:xfrm>
                    <a:prstGeom prst="rect">
                      <a:avLst/>
                    </a:prstGeom>
                    <a:noFill/>
                    <a:ln w="9525">
                      <a:noFill/>
                      <a:headEnd/>
                      <a:tailEnd/>
                    </a:ln>
                  </pic:spPr>
                </pic:pic>
              </a:graphicData>
            </a:graphic>
          </wp:inline>
        </w:drawing>
      </w:r>
      <w:r>
        <w:rPr>
          <w:rFonts w:ascii="Times New Roman" w:hAnsi="Times New Roman"/>
        </w:rPr>
        <w:t xml:space="preserve">. Both pass the registered two-gene descriptive criterion of down direction and Bonferroni</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203.png" id="0" name="Picture"/>
                    <pic:cNvPicPr>
                      <a:picLocks noChangeArrowheads="1" noChangeAspect="1"/>
                    </pic:cNvPicPr>
                  </pic:nvPicPr>
                  <pic:blipFill>
                    <a:blip r:embed="rId265"/>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This is a recurrence after selecting the two survivors using original disease data and P28 target outcomes, not untouched validation, a new biomarker or a state-of-the-art break. The contrast also changes lesion versus intact skin, with inflammation and cell mix plausible confounders. Distinct GSMs do not rule out patient overlap with prior L. braziliensis cohorts. We make no treatment-response or diagnostic-accuracy claim.</w:t>
      </w:r>
    </w:p>
    <w:p>
      <w:pPr>
        <w:pStyle w:val="Heading1"/>
      </w:pPr>
      <w:bookmarkStart w:id="293" w:name="X127fbfbc561aa69f0bd7acec941378aa130b1e4"/>
      <w:r>
        <w:rPr>
          <w:rFonts w:ascii="Times New Roman" w:hAnsi="Times New Roman"/>
        </w:rPr>
        <w:t xml:space="preserve">P31 Chagas heart-to-blood early-stage panel: descriptive support with direction conflict</w:t>
      </w:r>
      <w:bookmarkEnd w:id="293"/>
    </w:p>
    <w:p>
      <w:pPr>
        <w:pStyle w:val="FirstParagraph"/>
      </w:pPr>
      <w:r>
        <w:rPr>
          <w:rFonts w:ascii="Times New Roman" w:hAnsi="Times New Roman"/>
        </w:rPr>
        <w:t xml:space="preserve">We froze twenty BH-significant genes from the historical GSE84796 left-ventricular end-stage Chagas cardiomyopathy comparison before opening the GSE244827 whole-blood RNA-seq counts (</w:t>
      </w:r>
      <w:hyperlink r:id="rId294">
        <w:r>
          <w:rPr>
            <w:rStyle w:val="Hyperlink"/>
          </w:rPr>
          <w:t xml:space="preserve">https://www.ncbi.nlm.nih.gov/geo/query/acc.cgi?acc=GSE84796</w:t>
        </w:r>
      </w:hyperlink>
      <w:r>
        <w:rPr>
          <w:rFonts w:ascii="Times New Roman" w:hAnsi="Times New Roman"/>
        </w:rPr>
        <w:t xml:space="preserve">;</w:t>
      </w:r>
      <w:r>
        <w:rPr>
          <w:rFonts w:ascii="Times New Roman" w:hAnsi="Times New Roman"/>
        </w:rPr>
        <w:t xml:space="preserve"> </w:t>
      </w:r>
      <w:hyperlink r:id="rId295">
        <w:r>
          <w:rPr>
            <w:rStyle w:val="Hyperlink"/>
          </w:rPr>
          <w:t xml:space="preserve">https://www.ncbi.nlm.nih.gov/geo/query/acc.cgi?acc=GSE244827</w:t>
        </w:r>
      </w:hyperlink>
      <w:r>
        <w:rPr>
          <w:rFonts w:ascii="Times New Roman" w:hAnsi="Times New Roman"/>
        </w:rPr>
        <w:t xml:space="preserve">). The original heart study contains one discovery cohort, not multiple independent demonstrations. The target paper studied early electrocardiographic cardiac changes in patients recruited in Virginia, Maryland and Washington, D.C., originating from endemic countries, while the historical study analyzed tissue obtained at heart transplantation through a São Paulo heart institute (</w:t>
      </w:r>
      <w:hyperlink r:id="rId296">
        <w:r>
          <w:rPr>
            <w:rStyle w:val="Hyperlink"/>
          </w:rPr>
          <w:t xml:space="preserve">https://pmc.ncbi.nlm.nih.gov/articles/PMC10592925/</w:t>
        </w:r>
      </w:hyperlink>
      <w:r>
        <w:rPr>
          <w:rFonts w:ascii="Times New Roman" w:hAnsi="Times New Roman"/>
        </w:rPr>
        <w:t xml:space="preserve">;</w:t>
      </w:r>
      <w:r>
        <w:rPr>
          <w:rFonts w:ascii="Times New Roman" w:hAnsi="Times New Roman"/>
        </w:rPr>
        <w:t xml:space="preserve"> </w:t>
      </w:r>
      <w:hyperlink r:id="rId297">
        <w:r>
          <w:rPr>
            <w:rStyle w:val="Hyperlink"/>
          </w:rPr>
          <w:t xml:space="preserve">https://pmc.ncbi.nlm.nih.gov/articles/PMC5849099/</w:t>
        </w:r>
      </w:hyperlink>
      <w:r>
        <w:rPr>
          <w:rFonts w:ascii="Times New Roman" w:hAnsi="Times New Roman"/>
        </w:rPr>
        <w:t xml:space="preserve">). These distinct recruitment and specimen descriptions make patient overlap unlikely, but no person-level cross-study linkage was provided; we cannot prove independence by accession identity alone. The target authors already described early-stage blood immune transcription and antigen-presentation or T-cell-activation changes, so this is not a new biological claim.</w:t>
      </w:r>
    </w:p>
    <w:p>
      <w:pPr>
        <w:pStyle w:val="BodyText"/>
      </w:pPr>
      <w:r>
        <w:rPr>
          <w:rFonts w:ascii="Times New Roman" w:hAnsi="Times New Roman"/>
        </w:rPr>
        <w:t xml:space="preserve">All 33 target GSMs map one-to-one to count columns and individual GEO records. The primary registered contrast is the six seropositive CARD versus four seropositive non-CARD people; ten seronegative CARD versus thirteen seronegative non-CARD form specificity context, not pooled controls. Counts are nonnegative integers mapped by unique stable Ensembl-to-HGNC assignment, with ambiguous gene IDs excluded; expression is filtered at CPM greater than one in at least 20% of all 33 samples and transformed to</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Seventeen of twenty frozen genes survived, all with historical positive signs; IGJ, LOC100128420 and LOC100653210 were unavailable. Fifteen of seventeen blood cardiac-stage Hedges effects agree with the historical heart sign, compared with 10.5906 expected agreements over 10,000 seeded direction- and discovery-coverage-matched unselected panels; one-sided empirical</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226.png" id="0" name="Picture"/>
                    <pic:cNvPicPr>
                      <a:picLocks noChangeArrowheads="1" noChangeAspect="1"/>
                    </pic:cNvPicPr>
                  </pic:nvPicPr>
                  <pic:blipFill>
                    <a:blip r:embed="rId298"/>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The registered descriptive criterion (at least fifteen measured, fifteen matching,</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203.png" id="0" name="Picture"/>
                    <pic:cNvPicPr>
                      <a:picLocks noChangeArrowheads="1" noChangeAspect="1"/>
                    </pic:cNvPicPr>
                  </pic:nvPicPr>
                  <pic:blipFill>
                    <a:blip r:embed="rId265"/>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passes. Individual nominal Welch probabilities below .05 were MCOLN2 (.04809), ZAP70 (.002134) and EOMES (.02883), not familywise or program-wide findings. Two fixed genes, ITGAL and IGLL5, reverse direction.</w:t>
      </w:r>
    </w:p>
    <w:p>
      <w:pPr>
        <w:pStyle w:val="BodyText"/>
      </w:pPr>
      <w:r>
        <w:rPr>
          <w:rFonts w:ascii="Times New Roman" w:hAnsi="Times New Roman"/>
        </w:rPr>
        <w:t xml:space="preserve">This result is fragile and biologically discordant. Post-primary leave-one-person-out sign counts vary from fourteen to sixteen of seventeen, so two omissions lose the registered raw agreement threshold; these are sensitivity descriptions, not substitutions for the frozen endpoint. A sex-stratified mean-sign check yields sixteen of seventeen in two female CARD versus three female non-CARD participants, and fifteen of seventeen in four male CARD versus one male non-CARD participant; the male comparator of one cannot estimate variance. The seronegative cardiac-stage contrast points in the original discovery direction for only one of seventeen measured genes (sixteen point down), although the target study enrolled seronegative controls matched on several characteristics rather than a randomly sampled disease-free population. The target publication describes early immune downregulation, while our end-stage-heart panel is predominantly up; tissue, disease stage, blood-cell composition, sex imbalance and small denominators all confound mechanistic interpretation. The matched-gene-set</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is a within-contrast descriptive statistic, not adjustment for the many cross-disease registrations in this program or a patient-level predictive AUC. No comparable published benchmark, clinical biomarker, or novel falsifiable marker has been established. Exact per-GSM metadata, source hashes, all gene effects, null draws and sensitivity counts remain in</w:t>
      </w:r>
      <w:r>
        <w:rPr>
          <w:rFonts w:ascii="Times New Roman" w:hAnsi="Times New Roman"/>
        </w:rPr>
        <w:t xml:space="preserve"> </w:t>
      </w:r>
      <w:r>
        <w:rPr>
          <w:rStyle w:val="VerbatimChar"/>
          <w:rFonts w:ascii="Times New Roman" w:hAnsi="Times New Roman"/>
        </w:rPr>
        <w:t xml:space="preserve">results/chagas_p31_</w:t>
      </w:r>
      <w:r>
        <w:rPr>
          <w:rFonts w:ascii="Times New Roman" w:hAnsi="Times New Roman"/>
        </w:rPr>
        <w:t xml:space="preserve">.</w:t>
      </w:r>
    </w:p>
    <w:p>
      <w:pPr>
        <w:pStyle w:val="Heading1"/>
      </w:pPr>
      <w:bookmarkStart w:id="299" w:name="Xda21fe31ec6d69d776f9b0b6f0aaf58a1afc395"/>
      <w:r>
        <w:rPr>
          <w:rFonts w:ascii="Times New Roman" w:hAnsi="Times New Roman"/>
        </w:rPr>
        <w:t xml:space="preserve">P32 ME/CFS blood-to-baseline-muscle sign transport fails</w:t>
      </w:r>
      <w:bookmarkEnd w:id="299"/>
    </w:p>
    <w:p>
      <w:pPr>
        <w:pStyle w:val="FirstParagraph"/>
      </w:pPr>
      <w:r>
        <w:rPr>
          <w:rFonts w:ascii="Times New Roman" w:hAnsi="Times New Roman"/>
        </w:rPr>
        <w:t xml:space="preserve">The unchanged sixteen-gene two-discovery-cohort ME/CFS blood panel from P29 was registered before downloading GSE245661 target muscle counts (</w:t>
      </w:r>
      <w:hyperlink r:id="rId300">
        <w:r>
          <w:rPr>
            <w:rStyle w:val="Hyperlink"/>
          </w:rPr>
          <w:t xml:space="preserve">https://www.ncbi.nlm.nih.gov/geo/query/acc.cgi?acc=GSE245661</w:t>
        </w:r>
      </w:hyperlink>
      <w:r>
        <w:rPr>
          <w:rFonts w:ascii="Times New Roman" w:hAnsi="Times New Roman"/>
        </w:rPr>
        <w:t xml:space="preserve">). The NIH deposit contains twenty-five distinct baseline vastus lateralis muscle specimens: thirteen adjudicated post-infectious ME/CFS and twelve healthy volunteers. Each GSM full accession record and its per-sample integer-count file was separately fetched, with title, patient token and raw header checked; none is an extra independent cohort. We mapped unique Ensembl identifiers through the pinned HGNC reference, removed ambiguous identifiers, aggregated duplicate symbols, and applied full-library</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after requiring CPM greater than one in at least 20% of the 25 specimens. Nine of sixteen fixed blood genes remain measurable; WDR26, PTGER1, HIST1H3E, KCNC3, RSG1, WDFY3 and MBD5 are unavailable under this map/filter. Only NES, RTF1 and COQ3 match historical direction (three of nine). The ten-thousand-draw direction- and discovery-coverage-matched unselected gene-set null expects 4.7396 matches; one-sided empirical</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227.png" id="0" name="Picture"/>
                    <pic:cNvPicPr>
                      <a:picLocks noChangeArrowheads="1" noChangeAspect="1"/>
                    </pic:cNvPicPr>
                  </pic:nvPicPr>
                  <pic:blipFill>
                    <a:blip r:embed="rId301"/>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The registered descriptive condition requires at least twelve measurable and twelve agreeing plus</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203.png" id="0" name="Picture"/>
                    <pic:cNvPicPr>
                      <a:picLocks noChangeArrowheads="1" noChangeAspect="1"/>
                    </pic:cNvPicPr>
                  </pic:nvPicPr>
                  <pic:blipFill>
                    <a:blip r:embed="rId265"/>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so it fails. None of the nine measured individual Welch tests reaches nominal</w:t>
      </w:r>
      <w:r>
        <w:rPr>
          <w:rFonts w:ascii="Times New Roman" w:hAnsi="Times New Roman"/>
        </w:rPr>
        <w:t xml:space="preserve"> </w:t>
      </w:r>
      <w:r>
        <w:rPr>
          <w:rFonts w:ascii="Times New Roman" w:hAnsi="Times New Roman"/>
        </w:rPr>
        <w:drawing>
          <wp:inline>
            <wp:extent cx="393700" cy="102526"/>
            <wp:effectExtent b="0" l="0" r="0" t="0"/>
            <wp:docPr descr="image" title="" id="1" name="Picture"/>
            <a:graphic>
              <a:graphicData uri="http://schemas.openxmlformats.org/drawingml/2006/picture">
                <pic:pic>
                  <pic:nvPicPr>
                    <pic:cNvPr descr="equations/in228.png" id="0" name="Picture"/>
                    <pic:cNvPicPr>
                      <a:picLocks noChangeArrowheads="1" noChangeAspect="1"/>
                    </pic:cNvPicPr>
                  </pic:nvPicPr>
                  <pic:blipFill>
                    <a:blip r:embed="rId302"/>
                    <a:stretch>
                      <a:fillRect/>
                    </a:stretch>
                  </pic:blipFill>
                  <pic:spPr bwMode="auto">
                    <a:xfrm>
                      <a:off x="0" y="0"/>
                      <a:ext cx="393700" cy="102526"/>
                    </a:xfrm>
                    <a:prstGeom prst="rect">
                      <a:avLst/>
                    </a:prstGeom>
                    <a:noFill/>
                    <a:ln w="9525">
                      <a:noFill/>
                      <a:headEnd/>
                      <a:tailEnd/>
                    </a:ln>
                  </pic:spPr>
                </pic:pic>
              </a:graphicData>
            </a:graphic>
          </wp:inline>
        </w:drawing>
      </w:r>
      <w:r>
        <w:rPr>
          <w:rFonts w:ascii="Times New Roman" w:hAnsi="Times New Roman"/>
        </w:rPr>
        <w:t xml:space="preserve">. Full effects, original count-file SHA-256, sample identity links and all null draws are retained in</w:t>
      </w:r>
      <w:r>
        <w:rPr>
          <w:rFonts w:ascii="Times New Roman" w:hAnsi="Times New Roman"/>
        </w:rPr>
        <w:t xml:space="preserve"> </w:t>
      </w:r>
      <w:r>
        <w:rPr>
          <w:rStyle w:val="VerbatimChar"/>
          <w:rFonts w:ascii="Times New Roman" w:hAnsi="Times New Roman"/>
        </w:rPr>
        <w:t xml:space="preserve">results/mecfs_p32_</w:t>
      </w:r>
      <w:r>
        <w:rPr>
          <w:rFonts w:ascii="Times New Roman" w:hAnsi="Times New Roman"/>
        </w:rPr>
        <w:t xml:space="preserve">.</w:t>
      </w:r>
    </w:p>
    <w:p>
      <w:pPr>
        <w:pStyle w:val="BodyText"/>
      </w:pPr>
      <w:r>
        <w:rPr>
          <w:rFonts w:ascii="Times New Roman" w:hAnsi="Times New Roman"/>
        </w:rPr>
        <w:t xml:space="preserve">This is blood-to-muscle transport across assays and cell mixtures, not a matched-tissue replication; the NIH investigators already published deep phenotyping and muscle abnormalities (</w:t>
      </w:r>
      <w:hyperlink r:id="rId303">
        <w:r>
          <w:rPr>
            <w:rStyle w:val="Hyperlink"/>
          </w:rPr>
          <w:t xml:space="preserve">https://pmc.ncbi.nlm.nih.gov/articles/PMC10881493/</w:t>
        </w:r>
      </w:hyperlink>
      <w:r>
        <w:rPr>
          <w:rFonts w:ascii="Times New Roman" w:hAnsi="Times New Roman"/>
        </w:rPr>
        <w:t xml:space="preserve">). Distinct accession and subject tokens do not alone prove participant independence from historical blood cohorts. The failure of the particular fixed blood panel in this selected muscle set does not exclude other muscle disease biology, establish the value of a reversed gene, or compare a classifier against a published benchmark. The source metadata list a twelve-versus-thirteen deposit for this subseries, not the entire parent study population; we do not multiply the observational unit by its superseries.</w:t>
      </w:r>
    </w:p>
    <w:p>
      <w:pPr>
        <w:pStyle w:val="Heading1"/>
      </w:pPr>
      <w:bookmarkStart w:id="304" w:name="X526250485b7ee46c2ae3134815559e7e3bd7a9f"/>
      <w:r>
        <w:rPr>
          <w:rFonts w:ascii="Times New Roman" w:hAnsi="Times New Roman"/>
        </w:rPr>
        <w:t xml:space="preserve">P33 matched published split: a lower cfRNA classifier result</w:t>
      </w:r>
      <w:bookmarkEnd w:id="304"/>
    </w:p>
    <w:p>
      <w:pPr>
        <w:pStyle w:val="FirstParagraph"/>
      </w:pPr>
      <w:r>
        <w:rPr>
          <w:rFonts w:ascii="Times New Roman" w:hAnsi="Times New Roman"/>
        </w:rPr>
        <w:t xml:space="preserve">The 2025 PNAS plasma cfRNA study reported a selected GLMNET Lasso test AUROC of 0.8103, with a 95% interval of 0.694–0.926 (</w:t>
      </w:r>
      <w:hyperlink r:id="rId305">
        <w:r>
          <w:rPr>
            <w:rStyle w:val="Hyperlink"/>
          </w:rPr>
          <w:t xml:space="preserve">https://pmc.ncbi.nlm.nih.gov/articles/PMC12377778/</w:t>
        </w:r>
      </w:hyperlink>
      <w:r>
        <w:rPr>
          <w:rFonts w:ascii="Times New Roman" w:hAnsi="Times New Roman"/>
        </w:rPr>
        <w:t xml:space="preserve">). Its public code repository supplies a particular 108-training/60-test patient split, 31 already-prepared VST feature columns and the model’s test-AUC artifact (</w:t>
      </w:r>
      <w:hyperlink r:id="rId306">
        <w:r>
          <w:rPr>
            <w:rStyle w:val="Hyperlink"/>
          </w:rPr>
          <w:t xml:space="preserve">https://github.com/aegardella/cfRNA_MECFS</w:t>
        </w:r>
      </w:hyperlink>
      <w:r>
        <w:rPr>
          <w:rFonts w:ascii="Times New Roman" w:hAnsi="Times New Roman"/>
        </w:rPr>
        <w:t xml:space="preserve">). Before training or opening test outcomes for our method, we registered a single standardized L2-logistic pipeline, five-fold stratified training-only selection over six fixed</w:t>
      </w:r>
      <w:r>
        <w:rPr>
          <w:rFonts w:ascii="Times New Roman" w:hAnsi="Times New Roman"/>
        </w:rPr>
        <w:t xml:space="preserve"> </w:t>
      </w:r>
      <w:r>
        <w:rPr>
          <w:rFonts w:ascii="Times New Roman" w:hAnsi="Times New Roman"/>
        </w:rPr>
        <w:drawing>
          <wp:inline>
            <wp:extent cx="99060" cy="83210"/>
            <wp:effectExtent b="0" l="0" r="0" t="0"/>
            <wp:docPr descr="image" title="" id="1" name="Picture"/>
            <a:graphic>
              <a:graphicData uri="http://schemas.openxmlformats.org/drawingml/2006/picture">
                <pic:pic>
                  <pic:nvPicPr>
                    <pic:cNvPr descr="equations/in229.png" id="0" name="Picture"/>
                    <pic:cNvPicPr>
                      <a:picLocks noChangeArrowheads="1" noChangeAspect="1"/>
                    </pic:cNvPicPr>
                  </pic:nvPicPr>
                  <pic:blipFill>
                    <a:blip r:embed="rId307"/>
                    <a:stretch>
                      <a:fillRect/>
                    </a:stretch>
                  </pic:blipFill>
                  <pic:spPr bwMode="auto">
                    <a:xfrm>
                      <a:off x="0" y="0"/>
                      <a:ext cx="99060" cy="8321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choices, and an untouched 60-patient test evaluation. All 168 deposited patient IDs map one-to-one, after removing leading zeros in identifiers, to the 168 individually audited GSE293840 GEO GSMs. Phenotype, sex and site agree with source records, and there is no train/test participant overlap. Each patient has exactly one pre-exercise A, B or C labelled sample in this file, not three repeated samples.</w:t>
      </w:r>
    </w:p>
    <w:p>
      <w:pPr>
        <w:pStyle w:val="BodyText"/>
      </w:pPr>
      <w:r>
        <w:rPr>
          <w:rFonts w:ascii="Times New Roman" w:hAnsi="Times New Roman"/>
        </w:rPr>
        <w:t xml:space="preserve">The training-only cross-validation selected</w:t>
      </w:r>
      <w:r>
        <w:rPr>
          <w:rFonts w:ascii="Times New Roman" w:hAnsi="Times New Roman"/>
        </w:rPr>
        <w:t xml:space="preserve"> </w:t>
      </w:r>
      <w:r>
        <w:rPr>
          <w:rFonts w:ascii="Times New Roman" w:hAnsi="Times New Roman"/>
        </w:rPr>
        <w:drawing>
          <wp:inline>
            <wp:extent cx="492759" cy="85520"/>
            <wp:effectExtent b="0" l="0" r="0" t="0"/>
            <wp:docPr descr="image" title="" id="1" name="Picture"/>
            <a:graphic>
              <a:graphicData uri="http://schemas.openxmlformats.org/drawingml/2006/picture">
                <pic:pic>
                  <pic:nvPicPr>
                    <pic:cNvPr descr="equations/in230.png" id="0" name="Picture"/>
                    <pic:cNvPicPr>
                      <a:picLocks noChangeArrowheads="1" noChangeAspect="1"/>
                    </pic:cNvPicPr>
                  </pic:nvPicPr>
                  <pic:blipFill>
                    <a:blip r:embed="rId308"/>
                    <a:stretch>
                      <a:fillRect/>
                    </a:stretch>
                  </pic:blipFill>
                  <pic:spPr bwMode="auto">
                    <a:xfrm>
                      <a:off x="0" y="0"/>
                      <a:ext cx="492759" cy="8552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with mean AUROC 0.7612. On the author’s fixed sixty test people (32 cases, 28 controls), our locked model has AUROC 0.7232 and a ten-thousand-resample, within-test stratified-bootstrap 95% interval of 0.5871–0.8504. The point difference from the published same-split artifact’s 0.8103 is -0.0871: it is lower, not a comparable benchmark break. The interval is uncertainty in our one test set, not a paired difference interval with the source’s unknown case-level scores. Neither model was evaluated here on an unrelated cohort. The source’s saved test text reports the same AUROC but sensitivity 0.15625, specificity 0.32143 and accuracy 0.23333. These are the exact complements of the paper’s reported 0.84375, 0.67857 and 0.76667, respectively. This arithmetic strongly suggests an inverted predicted-class or threshold-output convention, but without original case-level scores we cannot prove the software path or independently reproduce the thresholded metrics. We reused the authors’ thirty-one prepared VST features rather than independently repeating their feature selection and normalization from raw counts; their selection was tied to their own training split. Full file checksums, train-only</w:t>
      </w:r>
      <w:r>
        <w:rPr>
          <w:rFonts w:ascii="Times New Roman" w:hAnsi="Times New Roman"/>
        </w:rPr>
        <w:t xml:space="preserve"> </w:t>
      </w:r>
      <w:r>
        <w:rPr>
          <w:rFonts w:ascii="Times New Roman" w:hAnsi="Times New Roman"/>
        </w:rPr>
        <w:drawing>
          <wp:inline>
            <wp:extent cx="99060" cy="83210"/>
            <wp:effectExtent b="0" l="0" r="0" t="0"/>
            <wp:docPr descr="image" title="" id="1" name="Picture"/>
            <a:graphic>
              <a:graphicData uri="http://schemas.openxmlformats.org/drawingml/2006/picture">
                <pic:pic>
                  <pic:nvPicPr>
                    <pic:cNvPr descr="equations/in229.png" id="0" name="Picture"/>
                    <pic:cNvPicPr>
                      <a:picLocks noChangeArrowheads="1" noChangeAspect="1"/>
                    </pic:cNvPicPr>
                  </pic:nvPicPr>
                  <pic:blipFill>
                    <a:blip r:embed="rId307"/>
                    <a:stretch>
                      <a:fillRect/>
                    </a:stretch>
                  </pic:blipFill>
                  <pic:spPr bwMode="auto">
                    <a:xfrm>
                      <a:off x="0" y="0"/>
                      <a:ext cx="99060" cy="8321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scores and sixty patient predictions are stored in</w:t>
      </w:r>
      <w:r>
        <w:rPr>
          <w:rFonts w:ascii="Times New Roman" w:hAnsi="Times New Roman"/>
        </w:rPr>
        <w:t xml:space="preserve"> </w:t>
      </w:r>
      <w:r>
        <w:rPr>
          <w:rStyle w:val="VerbatimChar"/>
          <w:rFonts w:ascii="Times New Roman" w:hAnsi="Times New Roman"/>
        </w:rPr>
        <w:t xml:space="preserve">results/mecfs_p33_</w:t>
      </w:r>
      <w:r>
        <w:rPr>
          <w:rFonts w:ascii="Times New Roman" w:hAnsi="Times New Roman"/>
        </w:rPr>
        <w:t xml:space="preserve">. This is a matched-split negative comparison under published prepared features, not a prospective diagnostic assay.</w:t>
      </w:r>
    </w:p>
    <w:p>
      <w:pPr>
        <w:pStyle w:val="Heading1"/>
      </w:pPr>
      <w:bookmarkStart w:id="309" w:name="X3ede627b3444931d3a4da3d6f924643c4c56f04"/>
      <w:r>
        <w:rPr>
          <w:rFonts w:ascii="Times New Roman" w:hAnsi="Times New Roman"/>
        </w:rPr>
        <w:t xml:space="preserve">P34 endometriosis eutopic tissue to circulating Th1: fixed panel fails</w:t>
      </w:r>
      <w:bookmarkEnd w:id="309"/>
    </w:p>
    <w:p>
      <w:pPr>
        <w:pStyle w:val="FirstParagraph"/>
      </w:pPr>
      <w:r>
        <w:rPr>
          <w:rFonts w:ascii="Times New Roman" w:hAnsi="Times New Roman"/>
        </w:rPr>
        <w:t xml:space="preserve">The P17 eutopic-endometrial top-twenty gene directions were left unchanged and registered for the GSE313775 sorted circulating T-cell deposit before its full target matrix was examined (</w:t>
      </w:r>
      <w:hyperlink r:id="rId310">
        <w:r>
          <w:rPr>
            <w:rStyle w:val="Hyperlink"/>
          </w:rPr>
          <w:t xml:space="preserve">https://www.ncbi.nlm.nih.gov/geo/query/acc.cgi?acc=GSE313775</w:t>
        </w:r>
      </w:hyperlink>
      <w:r>
        <w:rPr>
          <w:rFonts w:ascii="Times New Roman" w:hAnsi="Times New Roman"/>
        </w:rPr>
        <w:t xml:space="preserve">). Its 66 raw count columns and individually fetched GEO records encode three distinct CD4+ fractions per donor: Th1, Th1/17 and Th17, across ten surgically diagnosed endometriosis donors and twelve controls. We matched exact library IDs, unique donor tokens and case/control labels; the observational unit is 22 people, not 66 independent patients. Primary testing uses only one Th1 library per donor (ten versus twelve). Th1/17 and Th17 are descriptive comparisons on those same donors. Stable Ensembl IDs were uniquely HGNC-mapped, ambiguous IDs excluded, duplicate symbols summed, full-library CPM filtered at</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at least 20% of primary specimens, and</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entered Hedges effects and Welch tests.</w:t>
      </w:r>
    </w:p>
    <w:p>
      <w:pPr>
        <w:pStyle w:val="BodyText"/>
      </w:pPr>
      <w:r>
        <w:rPr>
          <w:rFonts w:ascii="Times New Roman" w:hAnsi="Times New Roman"/>
        </w:rPr>
        <w:t xml:space="preserve">Only eleven of twenty frozen tissue genes remain measurable; nine fail mapping or expression filtering. Seven of eleven primary Th1 signs agree with old tissue direction. Ten thousand seeded nonselected panels, preserving the observed discovery UP/DOWN mix and restricting to genes measured in both sources with original study coverage at least four, expect 6.2178 agreements; one-sided empirical</w:t>
      </w:r>
      <w:r>
        <w:rPr>
          <w:rFonts w:ascii="Times New Roman" w:hAnsi="Times New Roman"/>
        </w:rPr>
        <w:t xml:space="preserve"> </w:t>
      </w:r>
      <w:r>
        <w:rPr>
          <w:rFonts w:ascii="Times New Roman" w:hAnsi="Times New Roman"/>
        </w:rPr>
        <w:drawing>
          <wp:inline>
            <wp:extent cx="709930" cy="101418"/>
            <wp:effectExtent b="0" l="0" r="0" t="0"/>
            <wp:docPr descr="image" title="" id="1" name="Picture"/>
            <a:graphic>
              <a:graphicData uri="http://schemas.openxmlformats.org/drawingml/2006/picture">
                <pic:pic>
                  <pic:nvPicPr>
                    <pic:cNvPr descr="equations/in232.png" id="0" name="Picture"/>
                    <pic:cNvPicPr>
                      <a:picLocks noChangeArrowheads="1" noChangeAspect="1"/>
                    </pic:cNvPicPr>
                  </pic:nvPicPr>
                  <pic:blipFill>
                    <a:blip r:embed="rId311"/>
                    <a:stretch>
                      <a:fillRect/>
                    </a:stretch>
                  </pic:blipFill>
                  <pic:spPr bwMode="auto">
                    <a:xfrm>
                      <a:off x="0" y="0"/>
                      <a:ext cx="709930" cy="101418"/>
                    </a:xfrm>
                    <a:prstGeom prst="rect">
                      <a:avLst/>
                    </a:prstGeom>
                    <a:noFill/>
                    <a:ln w="9525">
                      <a:noFill/>
                      <a:headEnd/>
                      <a:tailEnd/>
                    </a:ln>
                  </pic:spPr>
                </pic:pic>
              </a:graphicData>
            </a:graphic>
          </wp:inline>
        </w:drawing>
      </w:r>
      <w:r>
        <w:rPr>
          <w:rFonts w:ascii="Times New Roman" w:hAnsi="Times New Roman"/>
        </w:rPr>
        <w:t xml:space="preserve">. This null is not an exact expression-level or discovery-</w:t>
      </w:r>
      <w:r>
        <w:rPr>
          <w:rFonts w:ascii="Times New Roman" w:hAnsi="Times New Roman"/>
        </w:rPr>
        <w:drawing>
          <wp:inline>
            <wp:extent cx="69850" cy="81491"/>
            <wp:effectExtent b="0" l="0" r="0" t="0"/>
            <wp:docPr descr="image" title="" id="1" name="Picture"/>
            <a:graphic>
              <a:graphicData uri="http://schemas.openxmlformats.org/drawingml/2006/picture">
                <pic:pic>
                  <pic:nvPicPr>
                    <pic:cNvPr descr="equations/in007.png" id="0" name="Picture"/>
                    <pic:cNvPicPr>
                      <a:picLocks noChangeArrowheads="1" noChangeAspect="1"/>
                    </pic:cNvPicPr>
                  </pic:nvPicPr>
                  <pic:blipFill>
                    <a:blip r:embed="rId34"/>
                    <a:stretch>
                      <a:fillRect/>
                    </a:stretch>
                  </pic:blipFill>
                  <pic:spPr bwMode="auto">
                    <a:xfrm>
                      <a:off x="0" y="0"/>
                      <a:ext cx="69850" cy="81491"/>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match, but the panel misses the registered thresholds regardless: at least fifteen measurable, sixteen matching,</w:t>
      </w:r>
      <w:r>
        <w:rPr>
          <w:rFonts w:ascii="Times New Roman" w:hAnsi="Times New Roman"/>
        </w:rPr>
        <w:t xml:space="preserve"> </w:t>
      </w:r>
      <w:r>
        <w:rPr>
          <w:rFonts w:ascii="Times New Roman" w:hAnsi="Times New Roman"/>
        </w:rPr>
        <w:drawing>
          <wp:inline>
            <wp:extent cx="393700" cy="102526"/>
            <wp:effectExtent b="0" l="0" r="0" t="0"/>
            <wp:docPr descr="image" title="" id="1" name="Picture"/>
            <a:graphic>
              <a:graphicData uri="http://schemas.openxmlformats.org/drawingml/2006/picture">
                <pic:pic>
                  <pic:nvPicPr>
                    <pic:cNvPr descr="equations/in233.png" id="0" name="Picture"/>
                    <pic:cNvPicPr>
                      <a:picLocks noChangeArrowheads="1" noChangeAspect="1"/>
                    </pic:cNvPicPr>
                  </pic:nvPicPr>
                  <pic:blipFill>
                    <a:blip r:embed="rId312"/>
                    <a:stretch>
                      <a:fillRect/>
                    </a:stretch>
                  </pic:blipFill>
                  <pic:spPr bwMode="auto">
                    <a:xfrm>
                      <a:off x="0" y="0"/>
                      <a:ext cx="393700" cy="10252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and one same-direction individual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34.png" id="0" name="Picture"/>
                    <pic:cNvPicPr>
                      <a:picLocks noChangeArrowheads="1" noChangeAspect="1"/>
                    </pic:cNvPicPr>
                  </pic:nvPicPr>
                  <pic:blipFill>
                    <a:blip r:embed="rId31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LINC01118 has nominal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35.png" id="0" name="Picture"/>
                    <pic:cNvPicPr>
                      <a:picLocks noChangeArrowheads="1" noChangeAspect="1"/>
                    </pic:cNvPicPr>
                  </pic:nvPicPr>
                  <pic:blipFill>
                    <a:blip r:embed="rId314"/>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which does not satisfy the correction. The same eleven genes have six matching signs in Th1/17 and eight in Th17; these fractions are not independent validation cohorts. We retain all twenty gene decisions, 10,000 null draws, the 66 GSM-to-library map, and raw matrix SHA-256 in</w:t>
      </w:r>
      <w:r>
        <w:rPr>
          <w:rFonts w:ascii="Times New Roman" w:hAnsi="Times New Roman"/>
        </w:rPr>
        <w:t xml:space="preserve"> </w:t>
      </w:r>
      <w:r>
        <w:rPr>
          <w:rStyle w:val="VerbatimChar"/>
          <w:rFonts w:ascii="Times New Roman" w:hAnsi="Times New Roman"/>
        </w:rPr>
        <w:t xml:space="preserve">results/endo_p34_</w:t>
      </w:r>
      <w:r>
        <w:rPr>
          <w:rFonts w:ascii="Times New Roman" w:hAnsi="Times New Roman"/>
        </w:rPr>
        <w:t xml:space="preserve">. The tissue-to-circulating-cell and bulk-to-sorted-fraction changes preclude a direct biological replication claim. A failed transported panel does not imply that sorted T cells have no disease differences, nor does it nominate a new marker or break a published benchmark.</w:t>
      </w:r>
    </w:p>
    <w:p>
      <w:pPr>
        <w:pStyle w:val="Heading1"/>
      </w:pPr>
      <w:bookmarkStart w:id="315" w:name="X41efc95524ac8284f69bece9df962c26c70f822"/>
      <w:r>
        <w:rPr>
          <w:rFonts w:ascii="Times New Roman" w:hAnsi="Times New Roman"/>
        </w:rPr>
        <w:t xml:space="preserve">P35 selected two-gene lesion recurrence in an outcome-study cohort</w:t>
      </w:r>
      <w:bookmarkEnd w:id="315"/>
    </w:p>
    <w:p>
      <w:pPr>
        <w:pStyle w:val="FirstParagraph"/>
      </w:pPr>
      <w:r>
        <w:rPr>
          <w:rFonts w:ascii="Times New Roman" w:hAnsi="Times New Roman"/>
        </w:rPr>
        <w:t xml:space="preserve">Before opening the target gene rows in GSE127831, we registered a fixed PON2 and CACNA2D2 DOWN comparison between 21 pretreatment</w:t>
      </w:r>
      <w:r>
        <w:rPr>
          <w:rFonts w:ascii="Times New Roman" w:hAnsi="Times New Roman"/>
        </w:rPr>
        <w:t xml:space="preserve"> </w:t>
      </w:r>
      <w:r>
        <w:rPr>
          <w:rFonts w:ascii="Times New Roman" w:hAnsi="Times New Roman"/>
          <w:i/>
        </w:rPr>
        <w:t xml:space="preserve">L. braziliensis</w:t>
      </w:r>
      <w:r>
        <w:rPr>
          <w:rFonts w:ascii="Times New Roman" w:hAnsi="Times New Roman"/>
        </w:rPr>
        <w:t xml:space="preserve"> </w:t>
      </w:r>
      <w:r>
        <w:rPr>
          <w:rFonts w:ascii="Times New Roman" w:hAnsi="Times New Roman"/>
        </w:rPr>
        <w:t xml:space="preserve">lesion biopsies and seven intact healthy skin samples (</w:t>
      </w:r>
      <w:hyperlink r:id="rId316">
        <w:r>
          <w:rPr>
            <w:rStyle w:val="Hyperlink"/>
          </w:rPr>
          <w:t xml:space="preserve">https://www.ncbi.nlm.nih.gov/geo/query/acc.cgi?acc=GSE127831</w:t>
        </w:r>
      </w:hyperlink>
      <w:r>
        <w:rPr>
          <w:rFonts w:ascii="Times New Roman" w:hAnsi="Times New Roman"/>
        </w:rPr>
        <w:t xml:space="preserve">;</w:t>
      </w:r>
      <w:r>
        <w:rPr>
          <w:rFonts w:ascii="Times New Roman" w:hAnsi="Times New Roman"/>
        </w:rPr>
        <w:t xml:space="preserve"> </w:t>
      </w:r>
      <w:hyperlink r:id="rId317">
        <w:r>
          <w:rPr>
            <w:rStyle w:val="Hyperlink"/>
          </w:rPr>
          <w:t xml:space="preserve">https://doi.org/10.1126/scitranslmed.aax4204</w:t>
        </w:r>
      </w:hyperlink>
      <w:r>
        <w:rPr>
          <w:rFonts w:ascii="Times New Roman" w:hAnsi="Times New Roman"/>
        </w:rPr>
        <w:t xml:space="preserve">). All 28 deposited GSM records were fetched individually and mapped uniquely to the normalized expression columns HS1–HS7 and CL1–CL21, study design and diagnosis. Among the 21 cases, seven eventually failed treatment and fourteen were cured; that outcome was not used to choose samples or test signs. The file called raw has fractional counts and was not treated as integer RNA-seq counts. We used the separate depositor-normalized matrix on its provided scale without further log or CPM normalization. Its 34,935 symbol rows include two symbols duplicated twice, neither a selected target; both tested symbols are unique and complete. No patient or selected symbol was excluded. Our analysis script checks the exact source SHA-256 hashes, mapping, group sizes, duplicate selected symbols, finite values and frozen test.</w:t>
      </w:r>
    </w:p>
    <w:p>
      <w:pPr>
        <w:pStyle w:val="BodyText"/>
      </w:pPr>
      <w:r>
        <w:rPr>
          <w:rFonts w:ascii="Times New Roman" w:hAnsi="Times New Roman"/>
        </w:rPr>
        <w:t xml:space="preserve">Both fixed DOWN signs and two-sided Welch</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203.png" id="0" name="Picture"/>
                    <pic:cNvPicPr>
                      <a:picLocks noChangeArrowheads="1" noChangeAspect="1"/>
                    </pic:cNvPicPr>
                  </pic:nvPicPr>
                  <pic:blipFill>
                    <a:blip r:embed="rId265"/>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thresholds pass. PON2’s lesion-minus-control normalized difference is -0.8914 (95% Welch interval</w:t>
      </w:r>
      <w:r>
        <w:rPr>
          <w:rFonts w:ascii="Times New Roman" w:hAnsi="Times New Roman"/>
        </w:rPr>
        <w:t xml:space="preserve"> </w:t>
      </w:r>
      <w:r>
        <w:rPr>
          <w:rFonts w:ascii="Times New Roman" w:hAnsi="Times New Roman"/>
        </w:rPr>
        <w:drawing>
          <wp:inline>
            <wp:extent cx="1026160" cy="125735"/>
            <wp:effectExtent b="0" l="0" r="0" t="0"/>
            <wp:docPr descr="image" title="" id="1" name="Picture"/>
            <a:graphic>
              <a:graphicData uri="http://schemas.openxmlformats.org/drawingml/2006/picture">
                <pic:pic>
                  <pic:nvPicPr>
                    <pic:cNvPr descr="equations/in237.png" id="0" name="Picture"/>
                    <pic:cNvPicPr>
                      <a:picLocks noChangeArrowheads="1" noChangeAspect="1"/>
                    </pic:cNvPicPr>
                  </pic:nvPicPr>
                  <pic:blipFill>
                    <a:blip r:embed="rId318"/>
                    <a:stretch>
                      <a:fillRect/>
                    </a:stretch>
                  </pic:blipFill>
                  <pic:spPr bwMode="auto">
                    <a:xfrm>
                      <a:off x="0" y="0"/>
                      <a:ext cx="1026160" cy="125735"/>
                    </a:xfrm>
                    <a:prstGeom prst="rect">
                      <a:avLst/>
                    </a:prstGeom>
                    <a:noFill/>
                    <a:ln w="9525">
                      <a:noFill/>
                      <a:headEnd/>
                      <a:tailEnd/>
                    </a:ln>
                  </pic:spPr>
                </pic:pic>
              </a:graphicData>
            </a:graphic>
          </wp:inline>
        </w:drawing>
      </w:r>
      <w:r>
        <w:rPr>
          <w:rFonts w:ascii="Times New Roman" w:hAnsi="Times New Roman"/>
        </w:rPr>
        <w:t xml:space="preserve">),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38.png" id="0" name="Picture"/>
                    <pic:cNvPicPr>
                      <a:picLocks noChangeArrowheads="1" noChangeAspect="1"/>
                    </pic:cNvPicPr>
                  </pic:nvPicPr>
                  <pic:blipFill>
                    <a:blip r:embed="rId319"/>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and</w:t>
      </w:r>
      <w:r>
        <w:rPr>
          <w:rFonts w:ascii="Times New Roman" w:hAnsi="Times New Roman"/>
        </w:rPr>
        <w:t xml:space="preserve"> </w:t>
      </w:r>
      <w:r>
        <w:rPr>
          <w:rFonts w:ascii="Times New Roman" w:hAnsi="Times New Roman"/>
        </w:rPr>
        <w:drawing>
          <wp:inline>
            <wp:extent cx="867410" cy="126838"/>
            <wp:effectExtent b="0" l="0" r="0" t="0"/>
            <wp:docPr descr="image" title="" id="1" name="Picture"/>
            <a:graphic>
              <a:graphicData uri="http://schemas.openxmlformats.org/drawingml/2006/picture">
                <pic:pic>
                  <pic:nvPicPr>
                    <pic:cNvPr descr="equations/in239.png" id="0" name="Picture"/>
                    <pic:cNvPicPr>
                      <a:picLocks noChangeArrowheads="1" noChangeAspect="1"/>
                    </pic:cNvPicPr>
                  </pic:nvPicPr>
                  <pic:blipFill>
                    <a:blip r:embed="rId320"/>
                    <a:stretch>
                      <a:fillRect/>
                    </a:stretch>
                  </pic:blipFill>
                  <pic:spPr bwMode="auto">
                    <a:xfrm>
                      <a:off x="0" y="0"/>
                      <a:ext cx="867410" cy="126838"/>
                    </a:xfrm>
                    <a:prstGeom prst="rect">
                      <a:avLst/>
                    </a:prstGeom>
                    <a:noFill/>
                    <a:ln w="9525">
                      <a:noFill/>
                      <a:headEnd/>
                      <a:tailEnd/>
                    </a:ln>
                  </pic:spPr>
                </pic:pic>
              </a:graphicData>
            </a:graphic>
          </wp:inline>
        </w:drawing>
      </w:r>
      <w:r>
        <w:rPr>
          <w:rFonts w:ascii="Times New Roman" w:hAnsi="Times New Roman"/>
        </w:rPr>
        <w:t xml:space="preserve">. CACNA2D2’s difference is -1.2664 (interval</w:t>
      </w:r>
      <w:r>
        <w:rPr>
          <w:rFonts w:ascii="Times New Roman" w:hAnsi="Times New Roman"/>
        </w:rPr>
        <w:t xml:space="preserve"> </w:t>
      </w:r>
      <w:r>
        <w:rPr>
          <w:rFonts w:ascii="Times New Roman" w:hAnsi="Times New Roman"/>
        </w:rPr>
        <w:drawing>
          <wp:inline>
            <wp:extent cx="1026160" cy="125735"/>
            <wp:effectExtent b="0" l="0" r="0" t="0"/>
            <wp:docPr descr="image" title="" id="1" name="Picture"/>
            <a:graphic>
              <a:graphicData uri="http://schemas.openxmlformats.org/drawingml/2006/picture">
                <pic:pic>
                  <pic:nvPicPr>
                    <pic:cNvPr descr="equations/in241.png" id="0" name="Picture"/>
                    <pic:cNvPicPr>
                      <a:picLocks noChangeArrowheads="1" noChangeAspect="1"/>
                    </pic:cNvPicPr>
                  </pic:nvPicPr>
                  <pic:blipFill>
                    <a:blip r:embed="rId321"/>
                    <a:stretch>
                      <a:fillRect/>
                    </a:stretch>
                  </pic:blipFill>
                  <pic:spPr bwMode="auto">
                    <a:xfrm>
                      <a:off x="0" y="0"/>
                      <a:ext cx="1026160" cy="125735"/>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42.png" id="0" name="Picture"/>
                    <pic:cNvPicPr>
                      <a:picLocks noChangeArrowheads="1" noChangeAspect="1"/>
                    </pic:cNvPicPr>
                  </pic:nvPicPr>
                  <pic:blipFill>
                    <a:blip r:embed="rId32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and</w:t>
      </w:r>
      <w:r>
        <w:rPr>
          <w:rFonts w:ascii="Times New Roman" w:hAnsi="Times New Roman"/>
        </w:rPr>
        <w:t xml:space="preserve"> </w:t>
      </w:r>
      <w:r>
        <w:rPr>
          <w:rFonts w:ascii="Times New Roman" w:hAnsi="Times New Roman"/>
        </w:rPr>
        <w:drawing>
          <wp:inline>
            <wp:extent cx="867410" cy="126838"/>
            <wp:effectExtent b="0" l="0" r="0" t="0"/>
            <wp:docPr descr="image" title="" id="1" name="Picture"/>
            <a:graphic>
              <a:graphicData uri="http://schemas.openxmlformats.org/drawingml/2006/picture">
                <pic:pic>
                  <pic:nvPicPr>
                    <pic:cNvPr descr="equations/in243.png" id="0" name="Picture"/>
                    <pic:cNvPicPr>
                      <a:picLocks noChangeArrowheads="1" noChangeAspect="1"/>
                    </pic:cNvPicPr>
                  </pic:nvPicPr>
                  <pic:blipFill>
                    <a:blip r:embed="rId323"/>
                    <a:stretch>
                      <a:fillRect/>
                    </a:stretch>
                  </pic:blipFill>
                  <pic:spPr bwMode="auto">
                    <a:xfrm>
                      <a:off x="0" y="0"/>
                      <a:ext cx="867410" cy="126838"/>
                    </a:xfrm>
                    <a:prstGeom prst="rect">
                      <a:avLst/>
                    </a:prstGeom>
                    <a:noFill/>
                    <a:ln w="9525">
                      <a:noFill/>
                      <a:headEnd/>
                      <a:tailEnd/>
                    </a:ln>
                  </pic:spPr>
                </pic:pic>
              </a:graphicData>
            </a:graphic>
          </wp:inline>
        </w:drawing>
      </w:r>
      <w:r>
        <w:rPr>
          <w:rFonts w:ascii="Times New Roman" w:hAnsi="Times New Roman"/>
        </w:rPr>
        <w:t xml:space="preserve">. We report both measured targets rather than running a genome-wide scan. This is a second descriptive recurrence of an outcome-selected pair after P28 and P30,</w:t>
      </w:r>
      <w:r>
        <w:rPr>
          <w:rFonts w:ascii="Times New Roman" w:hAnsi="Times New Roman"/>
        </w:rPr>
        <w:t xml:space="preserve"> </w:t>
      </w:r>
      <w:r>
        <w:rPr>
          <w:rFonts w:ascii="Times New Roman" w:hAnsi="Times New Roman"/>
          <w:i/>
        </w:rPr>
        <w:t xml:space="preserve">not</w:t>
      </w:r>
      <w:r>
        <w:rPr>
          <w:rFonts w:ascii="Times New Roman" w:hAnsi="Times New Roman"/>
        </w:rPr>
        <w:t xml:space="preserve"> </w:t>
      </w:r>
      <w:r>
        <w:rPr>
          <w:rFonts w:ascii="Times New Roman" w:hAnsi="Times New Roman"/>
        </w:rPr>
        <w:t xml:space="preserve">an untouched or independent discovery: P30 and P35 both involve Bahia</w:t>
      </w:r>
      <w:r>
        <w:rPr>
          <w:rFonts w:ascii="Times New Roman" w:hAnsi="Times New Roman"/>
        </w:rPr>
        <w:t xml:space="preserve"> </w:t>
      </w:r>
      <w:r>
        <w:rPr>
          <w:rFonts w:ascii="Times New Roman" w:hAnsi="Times New Roman"/>
          <w:i/>
        </w:rPr>
        <w:t xml:space="preserve">L. braziliensis</w:t>
      </w:r>
      <w:r>
        <w:rPr>
          <w:rFonts w:ascii="Times New Roman" w:hAnsi="Times New Roman"/>
        </w:rPr>
        <w:t xml:space="preserve"> </w:t>
      </w:r>
      <w:r>
        <w:rPr>
          <w:rFonts w:ascii="Times New Roman" w:hAnsi="Times New Roman"/>
        </w:rPr>
        <w:t xml:space="preserve">lesions; distinct GSMs do not prove disjoint people without a patient crosswalk. Changing from lesion to intact skin confounds gene expression with tissue damage, inflammation and cellular composition. The 2019 source study examined treatment response, but our case-control comparison does not test whether either gene predicts treatment failure. The positive registered descriptive rule does not meet the project’s new-discovery or published-benchmark endpoint. All source mappings, checksums, effect estimates and the frozen decision are in</w:t>
      </w:r>
      <w:r>
        <w:rPr>
          <w:rFonts w:ascii="Times New Roman" w:hAnsi="Times New Roman"/>
        </w:rPr>
        <w:t xml:space="preserve"> </w:t>
      </w:r>
      <w:r>
        <w:rPr>
          <w:rStyle w:val="VerbatimChar"/>
          <w:rFonts w:ascii="Times New Roman" w:hAnsi="Times New Roman"/>
        </w:rPr>
        <w:t xml:space="preserve">results/leish_p35_</w:t>
      </w:r>
      <w:r>
        <w:rPr>
          <w:rFonts w:ascii="Times New Roman" w:hAnsi="Times New Roman"/>
        </w:rPr>
        <w:t xml:space="preserve">.</w:t>
      </w:r>
    </w:p>
    <w:p>
      <w:pPr>
        <w:pStyle w:val="Heading1"/>
      </w:pPr>
      <w:bookmarkStart w:id="324" w:name="Xded15cff078e5c86261672f20166f626dc932c4"/>
      <w:r>
        <w:rPr>
          <w:rFonts w:ascii="Times New Roman" w:hAnsi="Times New Roman"/>
        </w:rPr>
        <w:t xml:space="preserve">P36 long COVID: source-selected genes fail a strict whole-blood context test</w:t>
      </w:r>
      <w:bookmarkEnd w:id="324"/>
    </w:p>
    <w:p>
      <w:pPr>
        <w:pStyle w:val="FirstParagraph"/>
      </w:pPr>
      <w:r>
        <w:rPr>
          <w:rFonts w:ascii="Times New Roman" w:hAnsi="Times New Roman"/>
        </w:rPr>
        <w:t xml:space="preserve">GSE226260 provided the first analyzable long-COVID expression arm in this project, a correction to our prior screening claim of no usable human series (</w:t>
      </w:r>
      <w:hyperlink r:id="rId325">
        <w:r>
          <w:rPr>
            <w:rStyle w:val="Hyperlink"/>
          </w:rPr>
          <w:t xml:space="preserve">https://www.ncbi.nlm.nih.gov/geo/query/acc.cgi?acc=GSE226260</w:t>
        </w:r>
      </w:hyperlink>
      <w:r>
        <w:rPr>
          <w:rFonts w:ascii="Times New Roman" w:hAnsi="Times New Roman"/>
        </w:rPr>
        <w:t xml:space="preserve">). The deposited series contains 228 PBMC libraries from the 2020–2021 arm and 103 whole-blood libraries from the distinct 2023–2024 arm. We did not pool these tissues or years. The published Nature Immunology study used both and highlighted JAK1, CXCL8, BCL2L1, OSM, MAP3K8 and STAT3 (</w:t>
      </w:r>
      <w:hyperlink r:id="rId326">
        <w:r>
          <w:rPr>
            <w:rStyle w:val="Hyperlink"/>
          </w:rPr>
          <w:t xml:space="preserve">https://www.nature.com/articles/s41590-025-02353-x</w:t>
        </w:r>
      </w:hyperlink>
      <w:r>
        <w:rPr>
          <w:rFonts w:ascii="Times New Roman" w:hAnsi="Times New Roman"/>
        </w:rPr>
        <w:t xml:space="preserve">); we froze their suggested UP direction</w:t>
      </w:r>
      <w:r>
        <w:rPr>
          <w:rFonts w:ascii="Times New Roman" w:hAnsi="Times New Roman"/>
        </w:rPr>
        <w:t xml:space="preserve"> </w:t>
      </w:r>
      <w:r>
        <w:rPr>
          <w:rFonts w:ascii="Times New Roman" w:hAnsi="Times New Roman"/>
          <w:i/>
        </w:rPr>
        <w:t xml:space="preserve">after reading the paper</w:t>
      </w:r>
      <w:r>
        <w:rPr>
          <w:rFonts w:ascii="Times New Roman" w:hAnsi="Times New Roman"/>
        </w:rPr>
        <w:t xml:space="preserve"> </w:t>
      </w:r>
      <w:r>
        <w:rPr>
          <w:rFonts w:ascii="Times New Roman" w:hAnsi="Times New Roman"/>
        </w:rPr>
        <w:t xml:space="preserve">but before opening whole-blood expression effects. This is a check of a source-selected list, not fresh validation. Each of 103 full GEO GSM text records matched its raw-count column, blood label and status/window metadata. Title prefixes suggest 38 people with repeated libraries; one acute-only token was excluded, and an outcome-blind rule chose the latest available nonacute window per token, breaking ties by title. The comparison is 17 PASC and 20 recovered title tokens, with 21 specimens from</w:t>
      </w:r>
      <w:r>
        <w:rPr>
          <w:rFonts w:ascii="Times New Roman" w:hAnsi="Times New Roman"/>
        </w:rPr>
        <w:t xml:space="preserve"> </w:t>
      </w:r>
      <w:r>
        <w:rPr>
          <w:rFonts w:ascii="Times New Roman" w:hAnsi="Times New Roman"/>
        </w:rPr>
        <w:drawing>
          <wp:inline>
            <wp:extent cx="260350" cy="88183"/>
            <wp:effectExtent b="0" l="0" r="0" t="0"/>
            <wp:docPr descr="image" title="" id="1" name="Picture"/>
            <a:graphic>
              <a:graphicData uri="http://schemas.openxmlformats.org/drawingml/2006/picture">
                <pic:pic>
                  <pic:nvPicPr>
                    <pic:cNvPr descr="equations/in244.png" id="0" name="Picture"/>
                    <pic:cNvPicPr>
                      <a:picLocks noChangeArrowheads="1" noChangeAspect="1"/>
                    </pic:cNvPicPr>
                  </pic:nvPicPr>
                  <pic:blipFill>
                    <a:blip r:embed="rId327"/>
                    <a:stretch>
                      <a:fillRect/>
                    </a:stretch>
                  </pic:blipFill>
                  <pic:spPr bwMode="auto">
                    <a:xfrm>
                      <a:off x="0" y="0"/>
                      <a:ext cx="260350" cy="8818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months, nine from 6–12 months and seven from 3–6 months. These titles are not a separately validated subject crosswalk. Treating all 103 as independent observations would be pseudoreplication.</w:t>
      </w:r>
    </w:p>
    <w:p>
      <w:pPr>
        <w:pStyle w:val="BodyText"/>
      </w:pPr>
      <w:r>
        <w:rPr>
          <w:rFonts w:ascii="Times New Roman" w:hAnsi="Times New Roman"/>
        </w:rPr>
        <w:t xml:space="preserve">Mapped integer raw counts were summed by unique HGNC symbol, converted to full-library CPM, filtered above one CPM in at least 20% of chosen samples, and transformed as</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 All six genes were measured. Five point upward, but JAK1 points</w:t>
      </w:r>
      <w:r>
        <w:rPr>
          <w:rFonts w:ascii="Times New Roman" w:hAnsi="Times New Roman"/>
        </w:rPr>
        <w:t xml:space="preserve"> </w:t>
      </w:r>
      <w:r>
        <w:rPr>
          <w:rFonts w:ascii="Times New Roman" w:hAnsi="Times New Roman"/>
          <w:i/>
        </w:rPr>
        <w:t xml:space="preserve">down</w:t>
      </w:r>
      <w:r>
        <w:rPr>
          <w:rFonts w:ascii="Times New Roman" w:hAnsi="Times New Roman"/>
        </w:rPr>
        <w:t xml:space="preserve">: case-minus-recovered difference -0.2235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 units, Hedges</w:t>
      </w:r>
      <w:r>
        <w:rPr>
          <w:rFonts w:ascii="Times New Roman" w:hAnsi="Times New Roman"/>
        </w:rPr>
        <w:t xml:space="preserve">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46.png" id="0" name="Picture"/>
                    <pic:cNvPicPr>
                      <a:picLocks noChangeArrowheads="1" noChangeAspect="1"/>
                    </pic:cNvPicPr>
                  </pic:nvPicPr>
                  <pic:blipFill>
                    <a:blip r:embed="rId328"/>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47.png" id="0" name="Picture"/>
                    <pic:cNvPicPr>
                      <a:picLocks noChangeArrowheads="1" noChangeAspect="1"/>
                    </pic:cNvPicPr>
                  </pic:nvPicPr>
                  <pic:blipFill>
                    <a:blip r:embed="rId32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CXCL8 has</w:t>
      </w:r>
      <w:r>
        <w:rPr>
          <w:rFonts w:ascii="Times New Roman" w:hAnsi="Times New Roman"/>
        </w:rPr>
        <w:t xml:space="preserve">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48.png" id="0" name="Picture"/>
                    <pic:cNvPicPr>
                      <a:picLocks noChangeArrowheads="1" noChangeAspect="1"/>
                    </pic:cNvPicPr>
                  </pic:nvPicPr>
                  <pic:blipFill>
                    <a:blip r:embed="rId330"/>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49.png" id="0" name="Picture"/>
                    <pic:cNvPicPr>
                      <a:picLocks noChangeArrowheads="1" noChangeAspect="1"/>
                    </pic:cNvPicPr>
                  </pic:nvPicPr>
                  <pic:blipFill>
                    <a:blip r:embed="rId33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BCL2L1</w:t>
      </w:r>
      <w:r>
        <w:rPr>
          <w:rFonts w:ascii="Times New Roman" w:hAnsi="Times New Roman"/>
        </w:rPr>
        <w:t xml:space="preserve">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48.png" id="0" name="Picture"/>
                    <pic:cNvPicPr>
                      <a:picLocks noChangeArrowheads="1" noChangeAspect="1"/>
                    </pic:cNvPicPr>
                  </pic:nvPicPr>
                  <pic:blipFill>
                    <a:blip r:embed="rId330"/>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50.png" id="0" name="Picture"/>
                    <pic:cNvPicPr>
                      <a:picLocks noChangeArrowheads="1" noChangeAspect="1"/>
                    </pic:cNvPicPr>
                  </pic:nvPicPr>
                  <pic:blipFill>
                    <a:blip r:embed="rId332"/>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OSM</w:t>
      </w:r>
      <w:r>
        <w:rPr>
          <w:rFonts w:ascii="Times New Roman" w:hAnsi="Times New Roman"/>
        </w:rPr>
        <w:t xml:space="preserve">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51.png" id="0" name="Picture"/>
                    <pic:cNvPicPr>
                      <a:picLocks noChangeArrowheads="1" noChangeAspect="1"/>
                    </pic:cNvPicPr>
                  </pic:nvPicPr>
                  <pic:blipFill>
                    <a:blip r:embed="rId333"/>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52.png" id="0" name="Picture"/>
                    <pic:cNvPicPr>
                      <a:picLocks noChangeArrowheads="1" noChangeAspect="1"/>
                    </pic:cNvPicPr>
                  </pic:nvPicPr>
                  <pic:blipFill>
                    <a:blip r:embed="rId334"/>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MAP3K8</w:t>
      </w:r>
      <w:r>
        <w:rPr>
          <w:rFonts w:ascii="Times New Roman" w:hAnsi="Times New Roman"/>
        </w:rPr>
        <w:t xml:space="preserve">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53.png" id="0" name="Picture"/>
                    <pic:cNvPicPr>
                      <a:picLocks noChangeArrowheads="1" noChangeAspect="1"/>
                    </pic:cNvPicPr>
                  </pic:nvPicPr>
                  <pic:blipFill>
                    <a:blip r:embed="rId335"/>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54.png" id="0" name="Picture"/>
                    <pic:cNvPicPr>
                      <a:picLocks noChangeArrowheads="1" noChangeAspect="1"/>
                    </pic:cNvPicPr>
                  </pic:nvPicPr>
                  <pic:blipFill>
                    <a:blip r:embed="rId336"/>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STAT3</w:t>
      </w:r>
      <w:r>
        <w:rPr>
          <w:rFonts w:ascii="Times New Roman" w:hAnsi="Times New Roman"/>
        </w:rPr>
        <w:t xml:space="preserve">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55.png" id="0" name="Picture"/>
                    <pic:cNvPicPr>
                      <a:picLocks noChangeArrowheads="1" noChangeAspect="1"/>
                    </pic:cNvPicPr>
                  </pic:nvPicPr>
                  <pic:blipFill>
                    <a:blip r:embed="rId337"/>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56.png" id="0" name="Picture"/>
                    <pic:cNvPicPr>
                      <a:picLocks noChangeArrowheads="1" noChangeAspect="1"/>
                    </pic:cNvPicPr>
                  </pic:nvPicPr>
                  <pic:blipFill>
                    <a:blip r:embed="rId338"/>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 seeded 10,000-panel reference drawn from nonselected measurable genes expects 1.6984 upward signs, yielding one-sided empirical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57.png" id="0" name="Picture"/>
                    <pic:cNvPicPr>
                      <a:picLocks noChangeArrowheads="1" noChangeAspect="1"/>
                    </pic:cNvPicPr>
                  </pic:nvPicPr>
                  <pic:blipFill>
                    <a:blip r:embed="rId33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for at least five. The null does not correct for the selection of these six from the same source and must not be used as evidence of discovery. The registered six-of-six and at least one same-direction Bonferroni</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58.png" id="0" name="Picture"/>
                    <pic:cNvPicPr>
                      <a:picLocks noChangeArrowheads="1" noChangeAspect="1"/>
                    </pic:cNvPicPr>
                  </pic:nvPicPr>
                  <pic:blipFill>
                    <a:blip r:embed="rId34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condition fails; OSM’s nominal result is not a rescued candidate. No published benchmark or person-independent diagnostic signal follows. Source hashes, every GSM text checksum, selected title, gene effect and null draw are retained in</w:t>
      </w:r>
      <w:r>
        <w:rPr>
          <w:rFonts w:ascii="Times New Roman" w:hAnsi="Times New Roman"/>
        </w:rPr>
        <w:t xml:space="preserve"> </w:t>
      </w:r>
      <w:r>
        <w:rPr>
          <w:rStyle w:val="VerbatimChar"/>
          <w:rFonts w:ascii="Times New Roman" w:hAnsi="Times New Roman"/>
        </w:rPr>
        <w:t xml:space="preserve">results/longcovid_p36_</w:t>
      </w:r>
      <w:r>
        <w:rPr>
          <w:rFonts w:ascii="Times New Roman" w:hAnsi="Times New Roman"/>
        </w:rPr>
        <w:t xml:space="preserve">. This arm extends the usable disease footprint, but does not erase its limited observational units.</w:t>
      </w:r>
    </w:p>
    <w:p>
      <w:pPr>
        <w:pStyle w:val="Heading1"/>
      </w:pPr>
      <w:bookmarkStart w:id="341" w:name="Xa63f6967be5a8044cf8dd69c6c44a157a2b52be"/>
      <w:r>
        <w:rPr>
          <w:rFonts w:ascii="Times New Roman" w:hAnsi="Times New Roman"/>
        </w:rPr>
        <w:t xml:space="preserve">P37 six published long-COVID genes across assay and comparator changes</w:t>
      </w:r>
      <w:bookmarkEnd w:id="341"/>
    </w:p>
    <w:p>
      <w:pPr>
        <w:pStyle w:val="FirstParagraph"/>
      </w:pPr>
      <w:r>
        <w:rPr>
          <w:rFonts w:ascii="Times New Roman" w:hAnsi="Times New Roman"/>
        </w:rPr>
        <w:t xml:space="preserve">The pre-expression registered P37 stress test asked whether all six genes selected by the GSE226260 source paper point UP with individually corrected evidence in the separate GSE275334 targeted NanoString PBMC study (</w:t>
      </w:r>
      <w:hyperlink r:id="rId342">
        <w:r>
          <w:rPr>
            <w:rStyle w:val="Hyperlink"/>
          </w:rPr>
          <w:t xml:space="preserve">https://www.ncbi.nlm.nih.gov/geo/query/acc.cgi?acc=GSE275334</w:t>
        </w:r>
      </w:hyperlink>
      <w:r>
        <w:rPr>
          <w:rFonts w:ascii="Times New Roman" w:hAnsi="Times New Roman"/>
        </w:rPr>
        <w:t xml:space="preserve">;</w:t>
      </w:r>
      <w:r>
        <w:rPr>
          <w:rFonts w:ascii="Times New Roman" w:hAnsi="Times New Roman"/>
        </w:rPr>
        <w:t xml:space="preserve"> </w:t>
      </w:r>
      <w:hyperlink r:id="rId343">
        <w:r>
          <w:rPr>
            <w:rStyle w:val="Hyperlink"/>
          </w:rPr>
          <w:t xml:space="preserve">https://doi.org/10.1172/jci.insight.183810</w:t>
        </w:r>
      </w:hyperlink>
      <w:r>
        <w:rPr>
          <w:rFonts w:ascii="Times New Roman" w:hAnsi="Times New Roman"/>
        </w:rPr>
        <w:t xml:space="preserve">). Fifteen WHO-defined long-COVID patients, eighteen healthy controls and fourteen ME/CFS participants contributed one library each. We fetched and checked all 47 full GSM records against their exact workbook columns, titles and labels, but kept ME/CFS out of the primary contrast. All six symbols were unique and finite in the deposited normalized scale; no gene or sample was excluded. This assay is preselected for immune-exhaustion biology, so an in-panel random-gene null would not be a neutral comparison.</w:t>
      </w:r>
    </w:p>
    <w:p>
      <w:pPr>
        <w:pStyle w:val="BodyText"/>
      </w:pPr>
      <w:r>
        <w:rPr>
          <w:rFonts w:ascii="Times New Roman" w:hAnsi="Times New Roman"/>
        </w:rPr>
        <w:t xml:space="preserve">Five genes point UP, while BCL2L1 reverses slightly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59.png" id="0" name="Picture"/>
                    <pic:cNvPicPr>
                      <a:picLocks noChangeArrowheads="1" noChangeAspect="1"/>
                    </pic:cNvPicPr>
                  </pic:nvPicPr>
                  <pic:blipFill>
                    <a:blip r:embed="rId344"/>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60.png" id="0" name="Picture"/>
                    <pic:cNvPicPr>
                      <a:picLocks noChangeArrowheads="1" noChangeAspect="1"/>
                    </pic:cNvPicPr>
                  </pic:nvPicPr>
                  <pic:blipFill>
                    <a:blip r:embed="rId34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JAK1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61.png" id="0" name="Picture"/>
                    <pic:cNvPicPr>
                      <a:picLocks noChangeArrowheads="1" noChangeAspect="1"/>
                    </pic:cNvPicPr>
                  </pic:nvPicPr>
                  <pic:blipFill>
                    <a:blip r:embed="rId346"/>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62.png" id="0" name="Picture"/>
                    <pic:cNvPicPr>
                      <a:picLocks noChangeArrowheads="1" noChangeAspect="1"/>
                    </pic:cNvPicPr>
                  </pic:nvPicPr>
                  <pic:blipFill>
                    <a:blip r:embed="rId347"/>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CXCL8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63.png" id="0" name="Picture"/>
                    <pic:cNvPicPr>
                      <a:picLocks noChangeArrowheads="1" noChangeAspect="1"/>
                    </pic:cNvPicPr>
                  </pic:nvPicPr>
                  <pic:blipFill>
                    <a:blip r:embed="rId348"/>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64.png" id="0" name="Picture"/>
                    <pic:cNvPicPr>
                      <a:picLocks noChangeArrowheads="1" noChangeAspect="1"/>
                    </pic:cNvPicPr>
                  </pic:nvPicPr>
                  <pic:blipFill>
                    <a:blip r:embed="rId34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OSM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65.png" id="0" name="Picture"/>
                    <pic:cNvPicPr>
                      <a:picLocks noChangeArrowheads="1" noChangeAspect="1"/>
                    </pic:cNvPicPr>
                  </pic:nvPicPr>
                  <pic:blipFill>
                    <a:blip r:embed="rId350"/>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66.png" id="0" name="Picture"/>
                    <pic:cNvPicPr>
                      <a:picLocks noChangeArrowheads="1" noChangeAspect="1"/>
                    </pic:cNvPicPr>
                  </pic:nvPicPr>
                  <pic:blipFill>
                    <a:blip r:embed="rId35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MAP3K8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67.png" id="0" name="Picture"/>
                    <pic:cNvPicPr>
                      <a:picLocks noChangeArrowheads="1" noChangeAspect="1"/>
                    </pic:cNvPicPr>
                  </pic:nvPicPr>
                  <pic:blipFill>
                    <a:blip r:embed="rId35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268.png" id="0" name="Picture"/>
                    <pic:cNvPicPr>
                      <a:picLocks noChangeArrowheads="1" noChangeAspect="1"/>
                    </pic:cNvPicPr>
                  </pic:nvPicPr>
                  <pic:blipFill>
                    <a:blip r:embed="rId353"/>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and STAT3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69.png" id="0" name="Picture"/>
                    <pic:cNvPicPr>
                      <a:picLocks noChangeArrowheads="1" noChangeAspect="1"/>
                    </pic:cNvPicPr>
                  </pic:nvPicPr>
                  <pic:blipFill>
                    <a:blip r:embed="rId354"/>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70.png" id="0" name="Picture"/>
                    <pic:cNvPicPr>
                      <a:picLocks noChangeArrowheads="1" noChangeAspect="1"/>
                    </pic:cNvPicPr>
                  </pic:nvPicPr>
                  <pic:blipFill>
                    <a:blip r:embed="rId35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point UP. Only MAP3K8 crosses the fixed</w:t>
      </w:r>
      <w:r>
        <w:rPr>
          <w:rFonts w:ascii="Times New Roman" w:hAnsi="Times New Roman"/>
        </w:rPr>
        <w:t xml:space="preserve"> </w:t>
      </w:r>
      <w:r>
        <w:rPr>
          <w:rFonts w:ascii="Times New Roman" w:hAnsi="Times New Roman"/>
        </w:rPr>
        <w:drawing>
          <wp:inline>
            <wp:extent cx="1040130" cy="125953"/>
            <wp:effectExtent b="0" l="0" r="0" t="0"/>
            <wp:docPr descr="image" title="" id="1" name="Picture"/>
            <a:graphic>
              <a:graphicData uri="http://schemas.openxmlformats.org/drawingml/2006/picture">
                <pic:pic>
                  <pic:nvPicPr>
                    <pic:cNvPr descr="equations/in271.png" id="0" name="Picture"/>
                    <pic:cNvPicPr>
                      <a:picLocks noChangeArrowheads="1" noChangeAspect="1"/>
                    </pic:cNvPicPr>
                  </pic:nvPicPr>
                  <pic:blipFill>
                    <a:blip r:embed="rId356"/>
                    <a:stretch>
                      <a:fillRect/>
                    </a:stretch>
                  </pic:blipFill>
                  <pic:spPr bwMode="auto">
                    <a:xfrm>
                      <a:off x="0" y="0"/>
                      <a:ext cx="1040130" cy="1259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threshold. The registered</w:t>
      </w:r>
      <w:r>
        <w:rPr>
          <w:rFonts w:ascii="Times New Roman" w:hAnsi="Times New Roman"/>
        </w:rPr>
        <w:t xml:space="preserve"> </w:t>
      </w:r>
      <w:r>
        <w:rPr>
          <w:rFonts w:ascii="Times New Roman" w:hAnsi="Times New Roman"/>
          <w:i/>
        </w:rPr>
        <w:t xml:space="preserve">all-six</w:t>
      </w:r>
      <w:r>
        <w:rPr>
          <w:rFonts w:ascii="Times New Roman" w:hAnsi="Times New Roman"/>
        </w:rPr>
        <w:t xml:space="preserve"> </w:t>
      </w:r>
      <w:r>
        <w:rPr>
          <w:rFonts w:ascii="Times New Roman" w:hAnsi="Times New Roman"/>
        </w:rPr>
        <w:t xml:space="preserve">descriptive criterion therefore fails. It would be outcome selection to promote MAP3K8 alone as the answer. The prior panel’s gene choice arose from a published source family; PBMC targeted counts differ from whole-blood RNA-seq, and this comparison uses healthy uninfected controls where P36 used infected recovered people. Nor does a six-gene stress test compare with the published study on its original metric. The workbook SHA-256, per-GSM text checksums, group map and all six effects with confidence intervals are in</w:t>
      </w:r>
      <w:r>
        <w:rPr>
          <w:rFonts w:ascii="Times New Roman" w:hAnsi="Times New Roman"/>
        </w:rPr>
        <w:t xml:space="preserve"> </w:t>
      </w:r>
      <w:r>
        <w:rPr>
          <w:rStyle w:val="VerbatimChar"/>
          <w:rFonts w:ascii="Times New Roman" w:hAnsi="Times New Roman"/>
        </w:rPr>
        <w:t xml:space="preserve">results/longcovid_p37_</w:t>
      </w:r>
      <w:r>
        <w:rPr>
          <w:rFonts w:ascii="Times New Roman" w:hAnsi="Times New Roman"/>
        </w:rPr>
        <w:t xml:space="preserve">.</w:t>
      </w:r>
    </w:p>
    <w:p>
      <w:pPr>
        <w:pStyle w:val="Heading1"/>
      </w:pPr>
      <w:bookmarkStart w:id="357" w:name="Xd8dd051a5cef4acd0228114f913ecaf7e6644db"/>
      <w:r>
        <w:rPr>
          <w:rFonts w:ascii="Times New Roman" w:hAnsi="Times New Roman"/>
        </w:rPr>
        <w:t xml:space="preserve">P38 long COVID: ten-person naive CD4 pseudobulk fails coverage and sign</w:t>
      </w:r>
      <w:bookmarkEnd w:id="357"/>
    </w:p>
    <w:p>
      <w:pPr>
        <w:pStyle w:val="FirstParagraph"/>
      </w:pPr>
      <w:r>
        <w:rPr>
          <w:rFonts w:ascii="Times New Roman" w:hAnsi="Times New Roman"/>
        </w:rPr>
        <w:t xml:space="preserve">Before opening GSE334857 naive CD4 target values, we froze the six UP genes selected by the earlier GSE226260 published source (</w:t>
      </w:r>
      <w:hyperlink r:id="rId358">
        <w:r>
          <w:rPr>
            <w:rStyle w:val="Hyperlink"/>
          </w:rPr>
          <w:t xml:space="preserve">https://www.ncbi.nlm.nih.gov/geo/query/acc.cgi?acc=GSE334857</w:t>
        </w:r>
      </w:hyperlink>
      <w:r>
        <w:rPr>
          <w:rFonts w:ascii="Times New Roman" w:hAnsi="Times New Roman"/>
        </w:rPr>
        <w:t xml:space="preserve">;</w:t>
      </w:r>
      <w:r>
        <w:rPr>
          <w:rFonts w:ascii="Times New Roman" w:hAnsi="Times New Roman"/>
        </w:rPr>
        <w:t xml:space="preserve"> </w:t>
      </w:r>
      <w:hyperlink r:id="rId359">
        <w:r>
          <w:rPr>
            <w:rStyle w:val="Hyperlink"/>
          </w:rPr>
          <w:t xml:space="preserve">https://www.frontiersin.org/journals/immunology/articles/10.3389/fimmu.2026.1823850/full</w:t>
        </w:r>
      </w:hyperlink>
      <w:r>
        <w:rPr>
          <w:rFonts w:ascii="Times New Roman" w:hAnsi="Times New Roman"/>
        </w:rPr>
        <w:t xml:space="preserve">). The Brazilian unvaccinated cohort deposited 25 scRNA-seq libraries over ten people, six long-COVID and four recovered controls. Ten sorted naive CD4 libraries have exactly one library per person; six memory and nine AIM+ libraries overlap donors and were not pooled into the primary. Every GSM full-text record was checked against its donor, fraction, diagnosis and exact 10x H5 tar member. We summed raw integer UMI counts across cells</w:t>
      </w:r>
      <w:r>
        <w:rPr>
          <w:rFonts w:ascii="Times New Roman" w:hAnsi="Times New Roman"/>
        </w:rPr>
        <w:t xml:space="preserve"> </w:t>
      </w:r>
      <w:r>
        <w:rPr>
          <w:rFonts w:ascii="Times New Roman" w:hAnsi="Times New Roman"/>
          <w:i/>
        </w:rPr>
        <w:t xml:space="preserve">within</w:t>
      </w:r>
      <w:r>
        <w:rPr>
          <w:rFonts w:ascii="Times New Roman" w:hAnsi="Times New Roman"/>
        </w:rPr>
        <w:t xml:space="preserve"> </w:t>
      </w:r>
      <w:r>
        <w:rPr>
          <w:rFonts w:ascii="Times New Roman" w:hAnsi="Times New Roman"/>
        </w:rPr>
        <w:t xml:space="preserve">each naive fraction and analyzed ten person-level pseudobulks. Each had 152–1,387 nonempty cells. Twenty duplicate non-target gene-symbol rows were removed by a fixed nonselection rule, then full-library CPM was filtered at</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at least 20% of ten samples and transformed as</w:t>
      </w:r>
      <w:r>
        <w:rPr>
          <w:rFonts w:ascii="Times New Roman" w:hAnsi="Times New Roman"/>
        </w:rPr>
        <w:t xml:space="preserve"> </w:t>
      </w:r>
      <w:r>
        <w:rPr>
          <w:rFonts w:ascii="Times New Roman" w:hAnsi="Times New Roman"/>
        </w:rPr>
        <w:drawing>
          <wp:inline>
            <wp:extent cx="830580" cy="126837"/>
            <wp:effectExtent b="0" l="0" r="0" t="0"/>
            <wp:docPr descr="image" title="" id="1" name="Picture"/>
            <a:graphic>
              <a:graphicData uri="http://schemas.openxmlformats.org/drawingml/2006/picture">
                <pic:pic>
                  <pic:nvPicPr>
                    <pic:cNvPr descr="equations/in150.png" id="0" name="Picture"/>
                    <pic:cNvPicPr>
                      <a:picLocks noChangeArrowheads="1" noChangeAspect="1"/>
                    </pic:cNvPicPr>
                  </pic:nvPicPr>
                  <pic:blipFill>
                    <a:blip r:embed="rId210"/>
                    <a:stretch>
                      <a:fillRect/>
                    </a:stretch>
                  </pic:blipFill>
                  <pic:spPr bwMode="auto">
                    <a:xfrm>
                      <a:off x="0" y="0"/>
                      <a:ext cx="830580" cy="126837"/>
                    </a:xfrm>
                    <a:prstGeom prst="rect">
                      <a:avLst/>
                    </a:prstGeom>
                    <a:noFill/>
                    <a:ln w="9525">
                      <a:noFill/>
                      <a:headEnd/>
                      <a:tailEnd/>
                    </a:ln>
                  </pic:spPr>
                </pic:pic>
              </a:graphicData>
            </a:graphic>
          </wp:inline>
        </w:drawing>
      </w:r>
      <w:r>
        <w:rPr>
          <w:rFonts w:ascii="Times New Roman" w:hAnsi="Times New Roman"/>
        </w:rPr>
        <w:t xml:space="preserve">.</w:t>
      </w:r>
    </w:p>
    <w:p>
      <w:pPr>
        <w:pStyle w:val="BodyText"/>
      </w:pPr>
      <w:r>
        <w:rPr>
          <w:rFonts w:ascii="Times New Roman" w:hAnsi="Times New Roman"/>
        </w:rPr>
        <w:t xml:space="preserve">CXCL8 is a unique deposited gene symbol but is zero above one CPM in all ten selected samples, so it fails coverage; we do not impute it or promote a five-gene rule. Of the five measurable genes, JAK1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72.png" id="0" name="Picture"/>
                    <pic:cNvPicPr>
                      <a:picLocks noChangeArrowheads="1" noChangeAspect="1"/>
                    </pic:cNvPicPr>
                  </pic:nvPicPr>
                  <pic:blipFill>
                    <a:blip r:embed="rId360"/>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73.png" id="0" name="Picture"/>
                    <pic:cNvPicPr>
                      <a:picLocks noChangeArrowheads="1" noChangeAspect="1"/>
                    </pic:cNvPicPr>
                  </pic:nvPicPr>
                  <pic:blipFill>
                    <a:blip r:embed="rId36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BCL2L1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74.png" id="0" name="Picture"/>
                    <pic:cNvPicPr>
                      <a:picLocks noChangeArrowheads="1" noChangeAspect="1"/>
                    </pic:cNvPicPr>
                  </pic:nvPicPr>
                  <pic:blipFill>
                    <a:blip r:embed="rId362"/>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75.png" id="0" name="Picture"/>
                    <pic:cNvPicPr>
                      <a:picLocks noChangeArrowheads="1" noChangeAspect="1"/>
                    </pic:cNvPicPr>
                  </pic:nvPicPr>
                  <pic:blipFill>
                    <a:blip r:embed="rId36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OSM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76.png" id="0" name="Picture"/>
                    <pic:cNvPicPr>
                      <a:picLocks noChangeArrowheads="1" noChangeAspect="1"/>
                    </pic:cNvPicPr>
                  </pic:nvPicPr>
                  <pic:blipFill>
                    <a:blip r:embed="rId364"/>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77.png" id="0" name="Picture"/>
                    <pic:cNvPicPr>
                      <a:picLocks noChangeArrowheads="1" noChangeAspect="1"/>
                    </pic:cNvPicPr>
                  </pic:nvPicPr>
                  <pic:blipFill>
                    <a:blip r:embed="rId36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point UP. MAP3K8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78.png" id="0" name="Picture"/>
                    <pic:cNvPicPr>
                      <a:picLocks noChangeArrowheads="1" noChangeAspect="1"/>
                    </pic:cNvPicPr>
                  </pic:nvPicPr>
                  <pic:blipFill>
                    <a:blip r:embed="rId366"/>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79.png" id="0" name="Picture"/>
                    <pic:cNvPicPr>
                      <a:picLocks noChangeArrowheads="1" noChangeAspect="1"/>
                    </pic:cNvPicPr>
                  </pic:nvPicPr>
                  <pic:blipFill>
                    <a:blip r:embed="rId367"/>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STAT3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80.png" id="0" name="Picture"/>
                    <pic:cNvPicPr>
                      <a:picLocks noChangeArrowheads="1" noChangeAspect="1"/>
                    </pic:cNvPicPr>
                  </pic:nvPicPr>
                  <pic:blipFill>
                    <a:blip r:embed="rId368"/>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81.png" id="0" name="Picture"/>
                    <pic:cNvPicPr>
                      <a:picLocks noChangeArrowheads="1" noChangeAspect="1"/>
                    </pic:cNvPicPr>
                  </pic:nvPicPr>
                  <pic:blipFill>
                    <a:blip r:embed="rId36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reverse direction. None passes the fixed two-sided Welch</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58.png" id="0" name="Picture"/>
                    <pic:cNvPicPr>
                      <a:picLocks noChangeArrowheads="1" noChangeAspect="1"/>
                    </pic:cNvPicPr>
                  </pic:nvPicPr>
                  <pic:blipFill>
                    <a:blip r:embed="rId34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threshold, and the all-six rule fails on coverage and signs. The small group and cell-type change preclude a strong no-effect claim; the selection of genes from published source data also precludes a novel marker claim. The patient, not the individual cell or repeated sorted fraction, is the observational unit. All six coverage decisions, Hedges effects, confidence intervals and source checksums are in</w:t>
      </w:r>
      <w:r>
        <w:rPr>
          <w:rFonts w:ascii="Times New Roman" w:hAnsi="Times New Roman"/>
        </w:rPr>
        <w:t xml:space="preserve"> </w:t>
      </w:r>
      <w:r>
        <w:rPr>
          <w:rStyle w:val="VerbatimChar"/>
          <w:rFonts w:ascii="Times New Roman" w:hAnsi="Times New Roman"/>
        </w:rPr>
        <w:t xml:space="preserve">results/longcovid_p38_</w:t>
      </w:r>
      <w:r>
        <w:rPr>
          <w:rFonts w:ascii="Times New Roman" w:hAnsi="Times New Roman"/>
        </w:rPr>
        <w:t xml:space="preserve">.</w:t>
      </w:r>
    </w:p>
    <w:p>
      <w:pPr>
        <w:pStyle w:val="Heading1"/>
      </w:pPr>
      <w:bookmarkStart w:id="370" w:name="X7adc197bd44edf411797da88becf111f2572ec2"/>
      <w:r>
        <w:rPr>
          <w:rFonts w:ascii="Times New Roman" w:hAnsi="Times New Roman"/>
        </w:rPr>
        <w:t xml:space="preserve">P40 historical endometriosis transport: panel coverage collapses</w:t>
      </w:r>
      <w:bookmarkEnd w:id="370"/>
    </w:p>
    <w:p>
      <w:pPr>
        <w:pStyle w:val="FirstParagraph"/>
      </w:pPr>
      <w:r>
        <w:rPr>
          <w:rFonts w:ascii="Times New Roman" w:hAnsi="Times New Roman"/>
        </w:rPr>
        <w:t xml:space="preserve">The P17 twenty-gene discovery sign panel was locked before examining GSE153739 target values (</w:t>
      </w:r>
      <w:hyperlink r:id="rId371">
        <w:r>
          <w:rPr>
            <w:rStyle w:val="Hyperlink"/>
          </w:rPr>
          <w:t xml:space="preserve">https://www.ncbi.nlm.nih.gov/geo/query/acc.cgi?acc=GSE153739</w:t>
        </w:r>
      </w:hyperlink>
      <w:r>
        <w:rPr>
          <w:rFonts w:ascii="Times New Roman" w:hAnsi="Times New Roman"/>
        </w:rPr>
        <w:t xml:space="preserve">;</w:t>
      </w:r>
      <w:r>
        <w:rPr>
          <w:rFonts w:ascii="Times New Roman" w:hAnsi="Times New Roman"/>
        </w:rPr>
        <w:t xml:space="preserve"> </w:t>
      </w:r>
      <w:hyperlink r:id="rId372">
        <w:r>
          <w:rPr>
            <w:rStyle w:val="Hyperlink"/>
          </w:rPr>
          <w:t xml:space="preserve">https://pubmed.ncbi.nlm.nih.gov/33246341/</w:t>
        </w:r>
      </w:hyperlink>
      <w:r>
        <w:rPr>
          <w:rFonts w:ascii="Times New Roman" w:hAnsi="Times New Roman"/>
        </w:rPr>
        <w:t xml:space="preserve">). Its seven mid-proliferative eutopic-endometrial libraries represent four endometriosis patients and three healthy controls. We fetched and checked each complete GSM text against unique expression column, label and phase; no GSM overlaps a prior counted sample. The original study concerns DNA-damage response, not our sign panel. Thus it is an external historical stress test, not a new discovery or independent benchmark comparison.</w:t>
      </w:r>
    </w:p>
    <w:p>
      <w:pPr>
        <w:pStyle w:val="BodyText"/>
      </w:pPr>
      <w:r>
        <w:rPr>
          <w:rFonts w:ascii="Times New Roman" w:hAnsi="Times New Roman"/>
        </w:rPr>
        <w:t xml:space="preserve">The depositor’s 145,630 ENST rows contain transcript FPKM, not raw counts. GENCODE v48 ENST-to-ENSG and pinned HGNC mapped 132,319 rows to unique symbols; three ambiguous gene mappings were excluded. We summed transcript FPKM by symbol and applied the locked</w:t>
      </w:r>
      <w:r>
        <w:rPr>
          <w:rFonts w:ascii="Times New Roman" w:hAnsi="Times New Roman"/>
        </w:rPr>
        <w:t xml:space="preserve"> </w:t>
      </w:r>
      <w:r>
        <w:rPr>
          <w:rFonts w:ascii="Times New Roman" w:hAnsi="Times New Roman"/>
        </w:rPr>
        <w:drawing>
          <wp:inline>
            <wp:extent cx="1207770" cy="126489"/>
            <wp:effectExtent b="0" l="0" r="0" t="0"/>
            <wp:docPr descr="image" title="" id="1" name="Picture"/>
            <a:graphic>
              <a:graphicData uri="http://schemas.openxmlformats.org/drawingml/2006/picture">
                <pic:pic>
                  <pic:nvPicPr>
                    <pic:cNvPr descr="equations/in282.png" id="0" name="Picture"/>
                    <pic:cNvPicPr>
                      <a:picLocks noChangeArrowheads="1" noChangeAspect="1"/>
                    </pic:cNvPicPr>
                  </pic:nvPicPr>
                  <pic:blipFill>
                    <a:blip r:embed="rId373"/>
                    <a:stretch>
                      <a:fillRect/>
                    </a:stretch>
                  </pic:blipFill>
                  <pic:spPr bwMode="auto">
                    <a:xfrm>
                      <a:off x="0" y="0"/>
                      <a:ext cx="1207770" cy="126489"/>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transform after filtering genes above one FPKM in at least 20% of seven libraries. This summation is only an approximate gene-abundance estimate and does not support count-model inference. It left 15,330 measurable genes but just</w:t>
      </w:r>
      <w:r>
        <w:rPr>
          <w:rFonts w:ascii="Times New Roman" w:hAnsi="Times New Roman"/>
        </w:rPr>
        <w:t xml:space="preserve"> </w:t>
      </w:r>
      <w:r>
        <w:rPr>
          <w:rFonts w:ascii="Times New Roman" w:hAnsi="Times New Roman"/>
          <w:i/>
        </w:rPr>
        <w:t xml:space="preserve">six</w:t>
      </w:r>
      <w:r>
        <w:rPr>
          <w:rFonts w:ascii="Times New Roman" w:hAnsi="Times New Roman"/>
        </w:rPr>
        <w:t xml:space="preserve"> </w:t>
      </w:r>
      <w:r>
        <w:rPr>
          <w:rFonts w:ascii="Times New Roman" w:hAnsi="Times New Roman"/>
        </w:rPr>
        <w:t xml:space="preserve">of twenty fixed targets. Missing fourteen include old locus names, low-expression and cell-type-dependent genes; we do not treat absent markers as zero or swap in favored genes after inspection.</w:t>
      </w:r>
    </w:p>
    <w:p>
      <w:pPr>
        <w:pStyle w:val="BodyText"/>
      </w:pPr>
      <w:r>
        <w:rPr>
          <w:rFonts w:ascii="Times New Roman" w:hAnsi="Times New Roman"/>
        </w:rPr>
        <w:t xml:space="preserve">Only TMTC4 matches its historical down sign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83.png" id="0" name="Picture"/>
                    <pic:cNvPicPr>
                      <a:picLocks noChangeArrowheads="1" noChangeAspect="1"/>
                    </pic:cNvPicPr>
                  </pic:nvPicPr>
                  <pic:blipFill>
                    <a:blip r:embed="rId374"/>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 two-sided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84.png" id="0" name="Picture"/>
                    <pic:cNvPicPr>
                      <a:picLocks noChangeArrowheads="1" noChangeAspect="1"/>
                    </pic:cNvPicPr>
                  </pic:nvPicPr>
                  <pic:blipFill>
                    <a:blip r:embed="rId37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AMN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85.png" id="0" name="Picture"/>
                    <pic:cNvPicPr>
                      <a:picLocks noChangeArrowheads="1" noChangeAspect="1"/>
                    </pic:cNvPicPr>
                  </pic:nvPicPr>
                  <pic:blipFill>
                    <a:blip r:embed="rId376"/>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86.png" id="0" name="Picture"/>
                    <pic:cNvPicPr>
                      <a:picLocks noChangeArrowheads="1" noChangeAspect="1"/>
                    </pic:cNvPicPr>
                  </pic:nvPicPr>
                  <pic:blipFill>
                    <a:blip r:embed="rId377"/>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NPEPL1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87.png" id="0" name="Picture"/>
                    <pic:cNvPicPr>
                      <a:picLocks noChangeArrowheads="1" noChangeAspect="1"/>
                    </pic:cNvPicPr>
                  </pic:nvPicPr>
                  <pic:blipFill>
                    <a:blip r:embed="rId378"/>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88.png" id="0" name="Picture"/>
                    <pic:cNvPicPr>
                      <a:picLocks noChangeArrowheads="1" noChangeAspect="1"/>
                    </pic:cNvPicPr>
                  </pic:nvPicPr>
                  <pic:blipFill>
                    <a:blip r:embed="rId37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IER2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89.png" id="0" name="Picture"/>
                    <pic:cNvPicPr>
                      <a:picLocks noChangeArrowheads="1" noChangeAspect="1"/>
                    </pic:cNvPicPr>
                  </pic:nvPicPr>
                  <pic:blipFill>
                    <a:blip r:embed="rId380"/>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90.png" id="0" name="Picture"/>
                    <pic:cNvPicPr>
                      <a:picLocks noChangeArrowheads="1" noChangeAspect="1"/>
                    </pic:cNvPicPr>
                  </pic:nvPicPr>
                  <pic:blipFill>
                    <a:blip r:embed="rId38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PTER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91.png" id="0" name="Picture"/>
                    <pic:cNvPicPr>
                      <a:picLocks noChangeArrowheads="1" noChangeAspect="1"/>
                    </pic:cNvPicPr>
                  </pic:nvPicPr>
                  <pic:blipFill>
                    <a:blip r:embed="rId382"/>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92.png" id="0" name="Picture"/>
                    <pic:cNvPicPr>
                      <a:picLocks noChangeArrowheads="1" noChangeAspect="1"/>
                    </pic:cNvPicPr>
                  </pic:nvPicPr>
                  <pic:blipFill>
                    <a:blip r:embed="rId38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ERCC6L2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93.png" id="0" name="Picture"/>
                    <pic:cNvPicPr>
                      <a:picLocks noChangeArrowheads="1" noChangeAspect="1"/>
                    </pic:cNvPicPr>
                  </pic:nvPicPr>
                  <pic:blipFill>
                    <a:blip r:embed="rId384"/>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94.png" id="0" name="Picture"/>
                    <pic:cNvPicPr>
                      <a:picLocks noChangeArrowheads="1" noChangeAspect="1"/>
                    </pic:cNvPicPr>
                  </pic:nvPicPr>
                  <pic:blipFill>
                    <a:blip r:embed="rId38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reverse. None reaches the twenty-gene Bonferroni threshold</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34.png" id="0" name="Picture"/>
                    <pic:cNvPicPr>
                      <a:picLocks noChangeArrowheads="1" noChangeAspect="1"/>
                    </pic:cNvPicPr>
                  </pic:nvPicPr>
                  <pic:blipFill>
                    <a:blip r:embed="rId31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 10,000-panel, sign-mix- and discovery-coverage-matched null expects 2.8823 agreements among six and has one-sided empirical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95.png" id="0" name="Picture"/>
                    <pic:cNvPicPr>
                      <a:picLocks noChangeArrowheads="1" noChangeAspect="1"/>
                    </pic:cNvPicPr>
                  </pic:nvPicPr>
                  <pic:blipFill>
                    <a:blip r:embed="rId386"/>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for at least one. More decisively, six is far below the registered minimum of fifteen measurable genes. This is a failed directional transport and a failed assay-coverage gate, not evidence of no role for those genes in endometriosis. Small group size, historical specimen handling and approximate FPKM aggregation narrow interpretation. All missing and measured genes, GSM SHA-256s, mapping checks, random seed and full null draws are archived in</w:t>
      </w:r>
      <w:r>
        <w:rPr>
          <w:rFonts w:ascii="Times New Roman" w:hAnsi="Times New Roman"/>
        </w:rPr>
        <w:t xml:space="preserve"> </w:t>
      </w:r>
      <w:r>
        <w:rPr>
          <w:rStyle w:val="VerbatimChar"/>
          <w:rFonts w:ascii="Times New Roman" w:hAnsi="Times New Roman"/>
        </w:rPr>
        <w:t xml:space="preserve">results/endo_p40_</w:t>
      </w:r>
      <w:r>
        <w:rPr>
          <w:rFonts w:ascii="Times New Roman" w:hAnsi="Times New Roman"/>
        </w:rPr>
        <w:t xml:space="preserve">; P39 remains independently paused before outcomes because lesion and eutopic libraries lack a donor crosswalk.</w:t>
      </w:r>
    </w:p>
    <w:p>
      <w:pPr>
        <w:pStyle w:val="Heading1"/>
      </w:pPr>
      <w:bookmarkStart w:id="387" w:name="Xe6b47ef9d6d19e51e9915e3ac114073f54037db"/>
      <w:r>
        <w:rPr>
          <w:rFonts w:ascii="Times New Roman" w:hAnsi="Times New Roman"/>
        </w:rPr>
        <w:t xml:space="preserve">P41 ME/CFS baseline plasma particles: few genes and reversed signs</w:t>
      </w:r>
      <w:bookmarkEnd w:id="387"/>
    </w:p>
    <w:p>
      <w:pPr>
        <w:pStyle w:val="FirstParagraph"/>
      </w:pPr>
      <w:r>
        <w:rPr>
          <w:rFonts w:ascii="Times New Roman" w:hAnsi="Times New Roman"/>
        </w:rPr>
        <w:t xml:space="preserve">We fixed the sixteen-gene leukocyte-array ME/CFS panel before opening GSE236402 baseline target outcomes (</w:t>
      </w:r>
      <w:hyperlink r:id="rId388">
        <w:r>
          <w:rPr>
            <w:rStyle w:val="Hyperlink"/>
          </w:rPr>
          <w:t xml:space="preserve">https://www.ncbi.nlm.nih.gov/geo/query/acc.cgi?acc=GSE236402</w:t>
        </w:r>
      </w:hyperlink>
      <w:r>
        <w:rPr>
          <w:rFonts w:ascii="Times New Roman" w:hAnsi="Times New Roman"/>
        </w:rPr>
        <w:t xml:space="preserve">). The source’s platelet-containing plasma particle RNA-seq compared three ME/CFS cases with three controls; each was also resampled a day after exercise. We fetched all twelve complete GEO GSM texts, matched phenotype and D1/D2 timepoint to each matrix column and verified each of six unique COR subject tokens has two samples. Only the six D1-pre-exercise libraries entered case-control inference. Treating twelve libraries as twelve independent people would be pseudoreplication. The study’s own objective concerns exercise response, not validating our blood-leukocyte sign panel.</w:t>
      </w:r>
    </w:p>
    <w:p>
      <w:pPr>
        <w:pStyle w:val="BodyText"/>
      </w:pPr>
      <w:r>
        <w:rPr>
          <w:rFonts w:ascii="Times New Roman" w:hAnsi="Times New Roman"/>
        </w:rPr>
        <w:t xml:space="preserve">The 58,884 unique ENSG rows have nonnegative integer counts. Pinned HGNC mapping yielded 41,866 unique symbols, excluding three ambiguous Ensembl mappings. Full-library CPM</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at least 20% of six baseline people left 6,338 measurable effect genes, but only seven of sixteen frozen targets. This fails the prespecified minimum of twelve. RTF1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296.png" id="0" name="Picture"/>
                    <pic:cNvPicPr>
                      <a:picLocks noChangeArrowheads="1" noChangeAspect="1"/>
                    </pic:cNvPicPr>
                  </pic:nvPicPr>
                  <pic:blipFill>
                    <a:blip r:embed="rId389"/>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97.png" id="0" name="Picture"/>
                    <pic:cNvPicPr>
                      <a:picLocks noChangeArrowheads="1" noChangeAspect="1"/>
                    </pic:cNvPicPr>
                  </pic:nvPicPr>
                  <pic:blipFill>
                    <a:blip r:embed="rId390"/>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MBD5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298.png" id="0" name="Picture"/>
                    <pic:cNvPicPr>
                      <a:picLocks noChangeArrowheads="1" noChangeAspect="1"/>
                    </pic:cNvPicPr>
                  </pic:nvPicPr>
                  <pic:blipFill>
                    <a:blip r:embed="rId39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299.png" id="0" name="Picture"/>
                    <pic:cNvPicPr>
                      <a:picLocks noChangeArrowheads="1" noChangeAspect="1"/>
                    </pic:cNvPicPr>
                  </pic:nvPicPr>
                  <pic:blipFill>
                    <a:blip r:embed="rId392"/>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are the only matching signs. WDR26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00.png" id="0" name="Picture"/>
                    <pic:cNvPicPr>
                      <a:picLocks noChangeArrowheads="1" noChangeAspect="1"/>
                    </pic:cNvPicPr>
                  </pic:nvPicPr>
                  <pic:blipFill>
                    <a:blip r:embed="rId393"/>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01.png" id="0" name="Picture"/>
                    <pic:cNvPicPr>
                      <a:picLocks noChangeArrowheads="1" noChangeAspect="1"/>
                    </pic:cNvPicPr>
                  </pic:nvPicPr>
                  <pic:blipFill>
                    <a:blip r:embed="rId394"/>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TLN1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02.png" id="0" name="Picture"/>
                    <pic:cNvPicPr>
                      <a:picLocks noChangeArrowheads="1" noChangeAspect="1"/>
                    </pic:cNvPicPr>
                  </pic:nvPicPr>
                  <pic:blipFill>
                    <a:blip r:embed="rId39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03.png" id="0" name="Picture"/>
                    <pic:cNvPicPr>
                      <a:picLocks noChangeArrowheads="1" noChangeAspect="1"/>
                    </pic:cNvPicPr>
                  </pic:nvPicPr>
                  <pic:blipFill>
                    <a:blip r:embed="rId396"/>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ARF3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04.png" id="0" name="Picture"/>
                    <pic:cNvPicPr>
                      <a:picLocks noChangeArrowheads="1" noChangeAspect="1"/>
                    </pic:cNvPicPr>
                  </pic:nvPicPr>
                  <pic:blipFill>
                    <a:blip r:embed="rId397"/>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05.png" id="0" name="Picture"/>
                    <pic:cNvPicPr>
                      <a:picLocks noChangeArrowheads="1" noChangeAspect="1"/>
                    </pic:cNvPicPr>
                  </pic:nvPicPr>
                  <pic:blipFill>
                    <a:blip r:embed="rId398"/>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RPL36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06.png" id="0" name="Picture"/>
                    <pic:cNvPicPr>
                      <a:picLocks noChangeArrowheads="1" noChangeAspect="1"/>
                    </pic:cNvPicPr>
                  </pic:nvPicPr>
                  <pic:blipFill>
                    <a:blip r:embed="rId399"/>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07.png" id="0" name="Picture"/>
                    <pic:cNvPicPr>
                      <a:picLocks noChangeArrowheads="1" noChangeAspect="1"/>
                    </pic:cNvPicPr>
                  </pic:nvPicPr>
                  <pic:blipFill>
                    <a:blip r:embed="rId400"/>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WIPF2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08.png" id="0" name="Picture"/>
                    <pic:cNvPicPr>
                      <a:picLocks noChangeArrowheads="1" noChangeAspect="1"/>
                    </pic:cNvPicPr>
                  </pic:nvPicPr>
                  <pic:blipFill>
                    <a:blip r:embed="rId40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309.png" id="0" name="Picture"/>
                    <pic:cNvPicPr>
                      <a:picLocks noChangeArrowheads="1" noChangeAspect="1"/>
                    </pic:cNvPicPr>
                  </pic:nvPicPr>
                  <pic:blipFill>
                    <a:blip r:embed="rId402"/>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reverse. Even the two small nominal</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values have the wrong historical sign and miss the fixed</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10.png" id="0" name="Picture"/>
                    <pic:cNvPicPr>
                      <a:picLocks noChangeArrowheads="1" noChangeAspect="1"/>
                    </pic:cNvPicPr>
                  </pic:nvPicPr>
                  <pic:blipFill>
                    <a:blip r:embed="rId403"/>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gene threshold. A seeded 10,000-panel historical-direction and minimum-study-count matched null expects 2.8212 agreements among seven and gives one-sided empirical</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311.png" id="0" name="Picture"/>
                    <pic:cNvPicPr>
                      <a:picLocks noChangeArrowheads="1" noChangeAspect="1"/>
                    </pic:cNvPicPr>
                  </pic:nvPicPr>
                  <pic:blipFill>
                    <a:blip r:embed="rId404"/>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for at least two. The all-rule support test fails on coverage, direction, null and corrected evidence; we do not promote a reversed gene as a new signal. Source patient linkage across other studies remains unverified despite no matching GSM; the comparison’s six people and shift from leukocytes to plasma particles make the outcome descriptive and imprecise. Full GSM SHA-256s, nine missing fixed genes, effects and null draws remain in</w:t>
      </w:r>
      <w:r>
        <w:rPr>
          <w:rFonts w:ascii="Times New Roman" w:hAnsi="Times New Roman"/>
        </w:rPr>
        <w:t xml:space="preserve"> </w:t>
      </w:r>
      <w:r>
        <w:rPr>
          <w:rStyle w:val="VerbatimChar"/>
          <w:rFonts w:ascii="Times New Roman" w:hAnsi="Times New Roman"/>
        </w:rPr>
        <w:t xml:space="preserve">results/mecfs_p41_</w:t>
      </w:r>
      <w:r>
        <w:rPr>
          <w:rFonts w:ascii="Times New Roman" w:hAnsi="Times New Roman"/>
        </w:rPr>
        <w:t xml:space="preserve">.</w:t>
      </w:r>
    </w:p>
    <w:p>
      <w:pPr>
        <w:pStyle w:val="Heading1"/>
      </w:pPr>
      <w:bookmarkStart w:id="405" w:name="X0206817c6af8933210f9bdb47d396500b2f4094"/>
      <w:r>
        <w:rPr>
          <w:rFonts w:ascii="Times New Roman" w:hAnsi="Times New Roman"/>
        </w:rPr>
        <w:t xml:space="preserve">P42 pure-PE late PBMCs: the six-gene panel splits directions</w:t>
      </w:r>
      <w:bookmarkEnd w:id="405"/>
    </w:p>
    <w:p>
      <w:pPr>
        <w:pStyle w:val="FirstParagraph"/>
      </w:pPr>
      <w:r>
        <w:rPr>
          <w:rFonts w:ascii="Times New Roman" w:hAnsi="Times New Roman"/>
        </w:rPr>
        <w:t xml:space="preserve">We froze the six retrospective P9 preeclampsia DOWN genes before opening GSE284329 transcript effects (</w:t>
      </w:r>
      <w:hyperlink r:id="rId406">
        <w:r>
          <w:rPr>
            <w:rStyle w:val="Hyperlink"/>
          </w:rPr>
          <w:t xml:space="preserve">https://www.ncbi.nlm.nih.gov/geo/query/acc.cgi?acc=GSE284329</w:t>
        </w:r>
      </w:hyperlink>
      <w:r>
        <w:rPr>
          <w:rFonts w:ascii="Times New Roman" w:hAnsi="Times New Roman"/>
        </w:rPr>
        <w:t xml:space="preserve">;</w:t>
      </w:r>
      <w:r>
        <w:rPr>
          <w:rFonts w:ascii="Times New Roman" w:hAnsi="Times New Roman"/>
        </w:rPr>
        <w:t xml:space="preserve"> </w:t>
      </w:r>
      <w:hyperlink r:id="rId407">
        <w:r>
          <w:rPr>
            <w:rStyle w:val="Hyperlink"/>
          </w:rPr>
          <w:t xml:space="preserve">https://pubmed.ncbi.nlm.nih.gov/40715462/</w:t>
        </w:r>
      </w:hyperlink>
      <w:r>
        <w:rPr>
          <w:rFonts w:ascii="Times New Roman" w:hAnsi="Times New Roman"/>
        </w:rPr>
        <w:t xml:space="preserve">). The source title describes a broad multi-omics cohort of 42 women, but just seventeen deposited RNA-seq PBMC libraries map to five controls, five gestational-diabetes-only, three pure PE and four concurrent PE-plus-diabetes subjects. We fetched all seventeen GSM full texts and matched each disease state and title token to its exact integer featureCounts column. The primary is only the three pure-PE women versus five controls; the other nine libraries do not silently swell the patient count or blur the phenotype. This late-pregnancy blood comparison does not test early chorionic-villus prediction.</w:t>
      </w:r>
    </w:p>
    <w:p>
      <w:pPr>
        <w:pStyle w:val="BodyText"/>
      </w:pPr>
      <w:r>
        <w:rPr>
          <w:rFonts w:ascii="Times New Roman" w:hAnsi="Times New Roman"/>
        </w:rPr>
        <w:t xml:space="preserve">Of 36,601 deposited ENSG rows, pinned HGNC resolved 26,071 unique symbols after three ambiguous IDs were excluded. Full-library log</w:t>
      </w:r>
      <w:r>
        <w:rPr>
          <w:rFonts w:ascii="Times New Roman" w:hAnsi="Times New Roman"/>
        </w:rPr>
        <w:drawing>
          <wp:inline>
            <wp:extent cx="50800" cy="50800"/>
            <wp:effectExtent b="0" l="0" r="0" t="0"/>
            <wp:docPr descr="image" title="" id="1" name="Picture"/>
            <a:graphic>
              <a:graphicData uri="http://schemas.openxmlformats.org/drawingml/2006/picture">
                <pic:pic>
                  <pic:nvPicPr>
                    <pic:cNvPr descr="equations/in038.png" id="0" name="Picture"/>
                    <pic:cNvPicPr>
                      <a:picLocks noChangeArrowheads="1" noChangeAspect="1"/>
                    </pic:cNvPicPr>
                  </pic:nvPicPr>
                  <pic:blipFill>
                    <a:blip r:embed="rId82"/>
                    <a:stretch>
                      <a:fillRect/>
                    </a:stretch>
                  </pic:blipFill>
                  <pic:spPr bwMode="auto">
                    <a:xfrm>
                      <a:off x="0" y="0"/>
                      <a:ext cx="50800" cy="50800"/>
                    </a:xfrm>
                    <a:prstGeom prst="rect">
                      <a:avLst/>
                    </a:prstGeom>
                    <a:noFill/>
                    <a:ln w="9525">
                      <a:noFill/>
                      <a:headEnd/>
                      <a:tailEnd/>
                    </a:ln>
                  </pic:spPr>
                </pic:pic>
              </a:graphicData>
            </a:graphic>
          </wp:inline>
        </w:drawing>
      </w:r>
      <w:r>
        <w:rPr>
          <w:rFonts w:ascii="Times New Roman" w:hAnsi="Times New Roman"/>
        </w:rPr>
        <w:t xml:space="preserve">(CPM+1), filtered at CPM above one in 20% of the eight primary libraries, yielded 14,003 effect genes. All six original fixed targets were measurable. Three point DOWN: GPAT3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12.png" id="0" name="Picture"/>
                    <pic:cNvPicPr>
                      <a:picLocks noChangeArrowheads="1" noChangeAspect="1"/>
                    </pic:cNvPicPr>
                  </pic:nvPicPr>
                  <pic:blipFill>
                    <a:blip r:embed="rId408"/>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13.png" id="0" name="Picture"/>
                    <pic:cNvPicPr>
                      <a:picLocks noChangeArrowheads="1" noChangeAspect="1"/>
                    </pic:cNvPicPr>
                  </pic:nvPicPr>
                  <pic:blipFill>
                    <a:blip r:embed="rId40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ZNF467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14.png" id="0" name="Picture"/>
                    <pic:cNvPicPr>
                      <a:picLocks noChangeArrowheads="1" noChangeAspect="1"/>
                    </pic:cNvPicPr>
                  </pic:nvPicPr>
                  <pic:blipFill>
                    <a:blip r:embed="rId410"/>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15.png" id="0" name="Picture"/>
                    <pic:cNvPicPr>
                      <a:picLocks noChangeArrowheads="1" noChangeAspect="1"/>
                    </pic:cNvPicPr>
                  </pic:nvPicPr>
                  <pic:blipFill>
                    <a:blip r:embed="rId41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LPGAT1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16.png" id="0" name="Picture"/>
                    <pic:cNvPicPr>
                      <a:picLocks noChangeArrowheads="1" noChangeAspect="1"/>
                    </pic:cNvPicPr>
                  </pic:nvPicPr>
                  <pic:blipFill>
                    <a:blip r:embed="rId412"/>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17.png" id="0" name="Picture"/>
                    <pic:cNvPicPr>
                      <a:picLocks noChangeArrowheads="1" noChangeAspect="1"/>
                    </pic:cNvPicPr>
                  </pic:nvPicPr>
                  <pic:blipFill>
                    <a:blip r:embed="rId41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FES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18.png" id="0" name="Picture"/>
                    <pic:cNvPicPr>
                      <a:picLocks noChangeArrowheads="1" noChangeAspect="1"/>
                    </pic:cNvPicPr>
                  </pic:nvPicPr>
                  <pic:blipFill>
                    <a:blip r:embed="rId414"/>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19.png" id="0" name="Picture"/>
                    <pic:cNvPicPr>
                      <a:picLocks noChangeArrowheads="1" noChangeAspect="1"/>
                    </pic:cNvPicPr>
                  </pic:nvPicPr>
                  <pic:blipFill>
                    <a:blip r:embed="rId41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FURIN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20.png" id="0" name="Picture"/>
                    <pic:cNvPicPr>
                      <a:picLocks noChangeArrowheads="1" noChangeAspect="1"/>
                    </pic:cNvPicPr>
                  </pic:nvPicPr>
                  <pic:blipFill>
                    <a:blip r:embed="rId416"/>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21.png" id="0" name="Picture"/>
                    <pic:cNvPicPr>
                      <a:picLocks noChangeArrowheads="1" noChangeAspect="1"/>
                    </pic:cNvPicPr>
                  </pic:nvPicPr>
                  <pic:blipFill>
                    <a:blip r:embed="rId417"/>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GRAMD1A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22.png" id="0" name="Picture"/>
                    <pic:cNvPicPr>
                      <a:picLocks noChangeArrowheads="1" noChangeAspect="1"/>
                    </pic:cNvPicPr>
                  </pic:nvPicPr>
                  <pic:blipFill>
                    <a:blip r:embed="rId418"/>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23.png" id="0" name="Picture"/>
                    <pic:cNvPicPr>
                      <a:picLocks noChangeArrowheads="1" noChangeAspect="1"/>
                    </pic:cNvPicPr>
                  </pic:nvPicPr>
                  <pic:blipFill>
                    <a:blip r:embed="rId41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reverse. None passes the six-gene Bonferroni</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258.png" id="0" name="Picture"/>
                    <pic:cNvPicPr>
                      <a:picLocks noChangeArrowheads="1" noChangeAspect="1"/>
                    </pic:cNvPicPr>
                  </pic:nvPicPr>
                  <pic:blipFill>
                    <a:blip r:embed="rId340"/>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gate; the registered all-six descriptive condition fails. The small, late-gestation, metabolically stratified sample does not rule out earlier placental biology, nor can a favorable subgroup be chosen now. The article’s lipid prediction is a different assay and endpoint, not a published RNA comparator we have beaten. The full seventeen sample checksums, effects and exclusions remain in</w:t>
      </w:r>
      <w:r>
        <w:rPr>
          <w:rFonts w:ascii="Times New Roman" w:hAnsi="Times New Roman"/>
        </w:rPr>
        <w:t xml:space="preserve"> </w:t>
      </w:r>
      <w:r>
        <w:rPr>
          <w:rStyle w:val="VerbatimChar"/>
          <w:rFonts w:ascii="Times New Roman" w:hAnsi="Times New Roman"/>
        </w:rPr>
        <w:t xml:space="preserve">results/pe_p42_</w:t>
      </w:r>
      <w:r>
        <w:rPr>
          <w:rFonts w:ascii="Times New Roman" w:hAnsi="Times New Roman"/>
        </w:rPr>
        <w:t xml:space="preserve">.</w:t>
      </w:r>
    </w:p>
    <w:p>
      <w:pPr>
        <w:pStyle w:val="Heading1"/>
      </w:pPr>
      <w:bookmarkStart w:id="420" w:name="X5fb1285b74093a4d59da87c4799e16517860d7a"/>
      <w:r>
        <w:rPr>
          <w:rFonts w:ascii="Times New Roman" w:hAnsi="Times New Roman"/>
        </w:rPr>
        <w:t xml:space="preserve">P43 untreated neutrophils: five signs, no corrected evidence</w:t>
      </w:r>
      <w:bookmarkEnd w:id="420"/>
    </w:p>
    <w:p>
      <w:pPr>
        <w:pStyle w:val="FirstParagraph"/>
      </w:pPr>
      <w:r>
        <w:rPr>
          <w:rFonts w:ascii="Times New Roman" w:hAnsi="Times New Roman"/>
        </w:rPr>
        <w:t xml:space="preserve">The P15/P16 eight-gene fibromyalgia panel from 2015 whole-blood discovery was frozen before GSE229750 baseline expression was opened (</w:t>
      </w:r>
      <w:hyperlink r:id="rId421">
        <w:r>
          <w:rPr>
            <w:rStyle w:val="Hyperlink"/>
          </w:rPr>
          <w:t xml:space="preserve">https://www.ncbi.nlm.nih.gov/geo/query/acc.cgi?acc=GSE229750</w:t>
        </w:r>
      </w:hyperlink>
      <w:r>
        <w:rPr>
          <w:rFonts w:ascii="Times New Roman" w:hAnsi="Times New Roman"/>
        </w:rPr>
        <w:t xml:space="preserve">). The source has five untreated fibromyalgia donors, five healthy donors, and two FM week-12 tocilizumab repeats. We fetched all twelve GSM full texts, validated donor, timepoint, cell type and disease against the exact workbook count columns, and excluded both treated repeats from inference. No participant appears twice in the ten-person primary comparison, although the public material cannot guarantee person-level independence from other series. The source investigators already studied neutrophil gene expression; even a positive association would not be new biology.</w:t>
      </w:r>
    </w:p>
    <w:p>
      <w:pPr>
        <w:pStyle w:val="BodyText"/>
      </w:pPr>
      <w:r>
        <w:rPr>
          <w:rFonts w:ascii="Times New Roman" w:hAnsi="Times New Roman"/>
        </w:rPr>
        <w:t xml:space="preserve">The deposited count workbook has 60,623 unique stable ENSG IDs. Pinned HGNC maps 41,968 unique symbols, excluding three ambiguous reference IDs. Integer count columns normalized to full-library CPM then filtered at</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CPM in at least 20% of ten baseline people leave 11,511 measured effect genes. CPA3 and ITGB8 are unavailable by fixed filter, leaving just six of eight targets; the registered minimum is seven. Five measured genes point DOWN: MS4A2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24.png" id="0" name="Picture"/>
                    <pic:cNvPicPr>
                      <a:picLocks noChangeArrowheads="1" noChangeAspect="1"/>
                    </pic:cNvPicPr>
                  </pic:nvPicPr>
                  <pic:blipFill>
                    <a:blip r:embed="rId422"/>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25.png" id="0" name="Picture"/>
                    <pic:cNvPicPr>
                      <a:picLocks noChangeArrowheads="1" noChangeAspect="1"/>
                    </pic:cNvPicPr>
                  </pic:nvPicPr>
                  <pic:blipFill>
                    <a:blip r:embed="rId42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FCER1A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26.png" id="0" name="Picture"/>
                    <pic:cNvPicPr>
                      <a:picLocks noChangeArrowheads="1" noChangeAspect="1"/>
                    </pic:cNvPicPr>
                  </pic:nvPicPr>
                  <pic:blipFill>
                    <a:blip r:embed="rId424"/>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27.png" id="0" name="Picture"/>
                    <pic:cNvPicPr>
                      <a:picLocks noChangeArrowheads="1" noChangeAspect="1"/>
                    </pic:cNvPicPr>
                  </pic:nvPicPr>
                  <pic:blipFill>
                    <a:blip r:embed="rId425"/>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UQCC3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28.png" id="0" name="Picture"/>
                    <pic:cNvPicPr>
                      <a:picLocks noChangeArrowheads="1" noChangeAspect="1"/>
                    </pic:cNvPicPr>
                  </pic:nvPicPr>
                  <pic:blipFill>
                    <a:blip r:embed="rId426"/>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29.png" id="0" name="Picture"/>
                    <pic:cNvPicPr>
                      <a:picLocks noChangeArrowheads="1" noChangeAspect="1"/>
                    </pic:cNvPicPr>
                  </pic:nvPicPr>
                  <pic:blipFill>
                    <a:blip r:embed="rId427"/>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HDC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30.png" id="0" name="Picture"/>
                    <pic:cNvPicPr>
                      <a:picLocks noChangeArrowheads="1" noChangeAspect="1"/>
                    </pic:cNvPicPr>
                  </pic:nvPicPr>
                  <pic:blipFill>
                    <a:blip r:embed="rId428"/>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31.png" id="0" name="Picture"/>
                    <pic:cNvPicPr>
                      <a:picLocks noChangeArrowheads="1" noChangeAspect="1"/>
                    </pic:cNvPicPr>
                  </pic:nvPicPr>
                  <pic:blipFill>
                    <a:blip r:embed="rId429"/>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and GATA2 (</w:t>
      </w:r>
      <w:r>
        <w:rPr>
          <w:rFonts w:ascii="Times New Roman" w:hAnsi="Times New Roman"/>
        </w:rPr>
        <w:drawing>
          <wp:inline>
            <wp:extent cx="557530" cy="101739"/>
            <wp:effectExtent b="0" l="0" r="0" t="0"/>
            <wp:docPr descr="image" title="" id="1" name="Picture"/>
            <a:graphic>
              <a:graphicData uri="http://schemas.openxmlformats.org/drawingml/2006/picture">
                <pic:pic>
                  <pic:nvPicPr>
                    <pic:cNvPr descr="equations/in332.png" id="0" name="Picture"/>
                    <pic:cNvPicPr>
                      <a:picLocks noChangeArrowheads="1" noChangeAspect="1"/>
                    </pic:cNvPicPr>
                  </pic:nvPicPr>
                  <pic:blipFill>
                    <a:blip r:embed="rId430"/>
                    <a:stretch>
                      <a:fillRect/>
                    </a:stretch>
                  </pic:blipFill>
                  <pic:spPr bwMode="auto">
                    <a:xfrm>
                      <a:off x="0" y="0"/>
                      <a:ext cx="557530" cy="101739"/>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33.png" id="0" name="Picture"/>
                    <pic:cNvPicPr>
                      <a:picLocks noChangeArrowheads="1" noChangeAspect="1"/>
                    </pic:cNvPicPr>
                  </pic:nvPicPr>
                  <pic:blipFill>
                    <a:blip r:embed="rId431"/>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GCSAML is almost null and UP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34.png" id="0" name="Picture"/>
                    <pic:cNvPicPr>
                      <a:picLocks noChangeArrowheads="1" noChangeAspect="1"/>
                    </pic:cNvPicPr>
                  </pic:nvPicPr>
                  <pic:blipFill>
                    <a:blip r:embed="rId432"/>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20700" cy="101699"/>
            <wp:effectExtent b="0" l="0" r="0" t="0"/>
            <wp:docPr descr="image" title="" id="1" name="Picture"/>
            <a:graphic>
              <a:graphicData uri="http://schemas.openxmlformats.org/drawingml/2006/picture">
                <pic:pic>
                  <pic:nvPicPr>
                    <pic:cNvPr descr="equations/in335.png" id="0" name="Picture"/>
                    <pic:cNvPicPr>
                      <a:picLocks noChangeArrowheads="1" noChangeAspect="1"/>
                    </pic:cNvPicPr>
                  </pic:nvPicPr>
                  <pic:blipFill>
                    <a:blip r:embed="rId433"/>
                    <a:stretch>
                      <a:fillRect/>
                    </a:stretch>
                  </pic:blipFill>
                  <pic:spPr bwMode="auto">
                    <a:xfrm>
                      <a:off x="0" y="0"/>
                      <a:ext cx="520700" cy="101699"/>
                    </a:xfrm>
                    <a:prstGeom prst="rect">
                      <a:avLst/>
                    </a:prstGeom>
                    <a:noFill/>
                    <a:ln w="9525">
                      <a:noFill/>
                      <a:headEnd/>
                      <a:tailEnd/>
                    </a:ln>
                  </pic:spPr>
                </pic:pic>
              </a:graphicData>
            </a:graphic>
          </wp:inline>
        </w:drawing>
      </w:r>
      <w:r>
        <w:rPr>
          <w:rFonts w:ascii="Times New Roman" w:hAnsi="Times New Roman"/>
        </w:rPr>
        <w:t xml:space="preserve">). No same-direction result passes the eight-gene</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336.png" id="0" name="Picture"/>
                    <pic:cNvPicPr>
                      <a:picLocks noChangeArrowheads="1" noChangeAspect="1"/>
                    </pic:cNvPicPr>
                  </pic:nvPicPr>
                  <pic:blipFill>
                    <a:blip r:embed="rId434"/>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correction. Five DOWN signs among six available genes do not rescue an eight-gene rule that fails coverage and corrected evidence. This tiny isolated-neutrophil comparison cannot overturn the larger P16 whole-blood seven-of-seven reversal or establish an independent biomarker. The full source checksums and effects are in</w:t>
      </w:r>
      <w:r>
        <w:rPr>
          <w:rFonts w:ascii="Times New Roman" w:hAnsi="Times New Roman"/>
        </w:rPr>
        <w:t xml:space="preserve"> </w:t>
      </w:r>
      <w:r>
        <w:rPr>
          <w:rStyle w:val="VerbatimChar"/>
          <w:rFonts w:ascii="Times New Roman" w:hAnsi="Times New Roman"/>
        </w:rPr>
        <w:t xml:space="preserve">results/fibro_p43_</w:t>
      </w:r>
      <w:r>
        <w:rPr>
          <w:rFonts w:ascii="Times New Roman" w:hAnsi="Times New Roman"/>
        </w:rPr>
        <w:t xml:space="preserve">.</w:t>
      </w:r>
    </w:p>
    <w:p>
      <w:pPr>
        <w:pStyle w:val="Heading1"/>
      </w:pPr>
      <w:bookmarkStart w:id="435" w:name="Xcd63509852513258dffc9c0a66f94a6050b4068"/>
      <w:r>
        <w:rPr>
          <w:rFonts w:ascii="Times New Roman" w:hAnsi="Times New Roman"/>
        </w:rPr>
        <w:t xml:space="preserve">P44 archival placenta: a complete directional reversal</w:t>
      </w:r>
      <w:bookmarkEnd w:id="435"/>
    </w:p>
    <w:p>
      <w:pPr>
        <w:pStyle w:val="FirstParagraph"/>
      </w:pPr>
      <w:r>
        <w:rPr>
          <w:rFonts w:ascii="Times New Roman" w:hAnsi="Times New Roman"/>
        </w:rPr>
        <w:t xml:space="preserve">The six retrospectively selected P9 preeclampsia DOWN genes were frozen before examining GSE279757 placental FPKM effects (</w:t>
      </w:r>
      <w:hyperlink r:id="rId436">
        <w:r>
          <w:rPr>
            <w:rStyle w:val="Hyperlink"/>
          </w:rPr>
          <w:t xml:space="preserve">https://www.ncbi.nlm.nih.gov/geo/query/acc.cgi?acc=GSE279757</w:t>
        </w:r>
      </w:hyperlink>
      <w:r>
        <w:rPr>
          <w:rFonts w:ascii="Times New Roman" w:hAnsi="Times New Roman"/>
        </w:rPr>
        <w:t xml:space="preserve">). Its deposited workbook and twelve complete GEO GSM records link six PE and six normal placenta specimens uniquely to title/description tokens; no GSM overlaps the existing manifest. The source’s published objective was placental FOXP2 expression and includes no early screening sample or matched classifier evaluation. We mapped the 19,966 unique ENSG rows through pinned HGNC, removing three ambiguous reference mappings, to 19,361 uniquely named genes; 8,944 met the fixed FPKM</w:t>
      </w:r>
      <w:r>
        <w:rPr>
          <w:rFonts w:ascii="Times New Roman" w:hAnsi="Times New Roman"/>
        </w:rPr>
        <w:t xml:space="preserve"> </w:t>
      </w:r>
      <w:r>
        <w:rPr>
          <w:rFonts w:ascii="Times New Roman" w:hAnsi="Times New Roman"/>
        </w:rPr>
        <w:drawing>
          <wp:inline>
            <wp:extent cx="196850" cy="89866"/>
            <wp:effectExtent b="0" l="0" r="0" t="0"/>
            <wp:docPr descr="image" title="" id="1" name="Picture"/>
            <a:graphic>
              <a:graphicData uri="http://schemas.openxmlformats.org/drawingml/2006/picture">
                <pic:pic>
                  <pic:nvPicPr>
                    <pic:cNvPr descr="equations/in205.png" id="0" name="Picture"/>
                    <pic:cNvPicPr>
                      <a:picLocks noChangeArrowheads="1" noChangeAspect="1"/>
                    </pic:cNvPicPr>
                  </pic:nvPicPr>
                  <pic:blipFill>
                    <a:blip r:embed="rId267"/>
                    <a:stretch>
                      <a:fillRect/>
                    </a:stretch>
                  </pic:blipFill>
                  <pic:spPr bwMode="auto">
                    <a:xfrm>
                      <a:off x="0" y="0"/>
                      <a:ext cx="196850" cy="89866"/>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in at least 20% of specimens. We used</w:t>
      </w:r>
      <w:r>
        <w:rPr>
          <w:rFonts w:ascii="Times New Roman" w:hAnsi="Times New Roman"/>
        </w:rPr>
        <w:t xml:space="preserve"> </w:t>
      </w:r>
      <w:r>
        <w:rPr>
          <w:rFonts w:ascii="Times New Roman" w:hAnsi="Times New Roman"/>
        </w:rPr>
        <w:drawing>
          <wp:inline>
            <wp:extent cx="919480" cy="126683"/>
            <wp:effectExtent b="0" l="0" r="0" t="0"/>
            <wp:docPr descr="image" title="" id="1" name="Picture"/>
            <a:graphic>
              <a:graphicData uri="http://schemas.openxmlformats.org/drawingml/2006/picture">
                <pic:pic>
                  <pic:nvPicPr>
                    <pic:cNvPr descr="equations/in164.png" id="0" name="Picture"/>
                    <pic:cNvPicPr>
                      <a:picLocks noChangeArrowheads="1" noChangeAspect="1"/>
                    </pic:cNvPicPr>
                  </pic:nvPicPr>
                  <pic:blipFill>
                    <a:blip r:embed="rId220"/>
                    <a:stretch>
                      <a:fillRect/>
                    </a:stretch>
                  </pic:blipFill>
                  <pic:spPr bwMode="auto">
                    <a:xfrm>
                      <a:off x="0" y="0"/>
                      <a:ext cx="919480" cy="126683"/>
                    </a:xfrm>
                    <a:prstGeom prst="rect">
                      <a:avLst/>
                    </a:prstGeom>
                    <a:noFill/>
                    <a:ln w="9525">
                      <a:noFill/>
                      <a:headEnd/>
                      <a:tailEnd/>
                    </a:ln>
                  </pic:spPr>
                </pic:pic>
              </a:graphicData>
            </a:graphic>
          </wp:inline>
        </w:drawing>
      </w:r>
      <w:r>
        <w:rPr>
          <w:rFonts w:ascii="Times New Roman" w:hAnsi="Times New Roman"/>
        </w:rPr>
        <w:t xml:space="preserve">, not a second count normalization.</w:t>
      </w:r>
    </w:p>
    <w:p>
      <w:pPr>
        <w:pStyle w:val="BodyText"/>
      </w:pPr>
      <w:r>
        <w:rPr>
          <w:rFonts w:ascii="Times New Roman" w:hAnsi="Times New Roman"/>
        </w:rPr>
        <w:t xml:space="preserve">GPAT3 is unavailable after mapping and expression filtering. The five measured genes all point</w:t>
      </w:r>
      <w:r>
        <w:rPr>
          <w:rFonts w:ascii="Times New Roman" w:hAnsi="Times New Roman"/>
        </w:rPr>
        <w:t xml:space="preserve"> </w:t>
      </w:r>
      <w:r>
        <w:rPr>
          <w:rFonts w:ascii="Times New Roman" w:hAnsi="Times New Roman"/>
          <w:i/>
        </w:rPr>
        <w:t xml:space="preserve">UP</w:t>
      </w:r>
      <w:r>
        <w:rPr>
          <w:rFonts w:ascii="Times New Roman" w:hAnsi="Times New Roman"/>
        </w:rPr>
        <w:t xml:space="preserve">, opposing their historical DOWN direction: FES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37.png" id="0" name="Picture"/>
                    <pic:cNvPicPr>
                      <a:picLocks noChangeArrowheads="1" noChangeAspect="1"/>
                    </pic:cNvPicPr>
                  </pic:nvPicPr>
                  <pic:blipFill>
                    <a:blip r:embed="rId437"/>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 Welch</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38.png" id="0" name="Picture"/>
                    <pic:cNvPicPr>
                      <a:picLocks noChangeArrowheads="1" noChangeAspect="1"/>
                    </pic:cNvPicPr>
                  </pic:nvPicPr>
                  <pic:blipFill>
                    <a:blip r:embed="rId438"/>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FURIN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39.png" id="0" name="Picture"/>
                    <pic:cNvPicPr>
                      <a:picLocks noChangeArrowheads="1" noChangeAspect="1"/>
                    </pic:cNvPicPr>
                  </pic:nvPicPr>
                  <pic:blipFill>
                    <a:blip r:embed="rId439"/>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40.png" id="0" name="Picture"/>
                    <pic:cNvPicPr>
                      <a:picLocks noChangeArrowheads="1" noChangeAspect="1"/>
                    </pic:cNvPicPr>
                  </pic:nvPicPr>
                  <pic:blipFill>
                    <a:blip r:embed="rId440"/>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GRAMD1A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41.png" id="0" name="Picture"/>
                    <pic:cNvPicPr>
                      <a:picLocks noChangeArrowheads="1" noChangeAspect="1"/>
                    </pic:cNvPicPr>
                  </pic:nvPicPr>
                  <pic:blipFill>
                    <a:blip r:embed="rId441"/>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42.png" id="0" name="Picture"/>
                    <pic:cNvPicPr>
                      <a:picLocks noChangeArrowheads="1" noChangeAspect="1"/>
                    </pic:cNvPicPr>
                  </pic:nvPicPr>
                  <pic:blipFill>
                    <a:blip r:embed="rId442"/>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ZNF467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43.png" id="0" name="Picture"/>
                    <pic:cNvPicPr>
                      <a:picLocks noChangeArrowheads="1" noChangeAspect="1"/>
                    </pic:cNvPicPr>
                  </pic:nvPicPr>
                  <pic:blipFill>
                    <a:blip r:embed="rId443"/>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44.png" id="0" name="Picture"/>
                    <pic:cNvPicPr>
                      <a:picLocks noChangeArrowheads="1" noChangeAspect="1"/>
                    </pic:cNvPicPr>
                  </pic:nvPicPr>
                  <pic:blipFill>
                    <a:blip r:embed="rId444"/>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and LPGAT1 (</w:t>
      </w:r>
      <w:r>
        <w:rPr>
          <w:rFonts w:ascii="Times New Roman" w:hAnsi="Times New Roman"/>
        </w:rPr>
        <w:drawing>
          <wp:inline>
            <wp:extent cx="619760" cy="101267"/>
            <wp:effectExtent b="0" l="0" r="0" t="0"/>
            <wp:docPr descr="image" title="" id="1" name="Picture"/>
            <a:graphic>
              <a:graphicData uri="http://schemas.openxmlformats.org/drawingml/2006/picture">
                <pic:pic>
                  <pic:nvPicPr>
                    <pic:cNvPr descr="equations/in345.png" id="0" name="Picture"/>
                    <pic:cNvPicPr>
                      <a:picLocks noChangeArrowheads="1" noChangeAspect="1"/>
                    </pic:cNvPicPr>
                  </pic:nvPicPr>
                  <pic:blipFill>
                    <a:blip r:embed="rId445"/>
                    <a:stretch>
                      <a:fillRect/>
                    </a:stretch>
                  </pic:blipFill>
                  <pic:spPr bwMode="auto">
                    <a:xfrm>
                      <a:off x="0" y="0"/>
                      <a:ext cx="619760" cy="101267"/>
                    </a:xfrm>
                    <a:prstGeom prst="rect">
                      <a:avLst/>
                    </a:prstGeom>
                    <a:noFill/>
                    <a:ln w="9525">
                      <a:noFill/>
                      <a:headEnd/>
                      <a:tailEnd/>
                    </a:ln>
                  </pic:spPr>
                </pic:pic>
              </a:graphicData>
            </a:graphic>
          </wp:inline>
        </w:drawing>
      </w:r>
      <w:r>
        <w:rPr>
          <w:rFonts w:ascii="Times New Roman" w:hAnsi="Times New Roman"/>
        </w:rPr>
        <w:t xml:space="preserve">,</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46.png" id="0" name="Picture"/>
                    <pic:cNvPicPr>
                      <a:picLocks noChangeArrowheads="1" noChangeAspect="1"/>
                    </pic:cNvPicPr>
                  </pic:nvPicPr>
                  <pic:blipFill>
                    <a:blip r:embed="rId446"/>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These are two-sided nominal p values and not same-direction evidence. The fixed six-DOWN condition fails on one missing target and five directional reversals. The sharp cohort-specific contrast cannot be repackaged as a novel five-UP marker: label inversion, disease severity, sampling gestation, site of placental biopsy, processing and confounding need independent examination, and selecting an opposite-sign panel after seeing it would require a new untouched cohort. The previous source genes were already selected after extensive prior analysis. Source sample hashes, signs and all effects remain in</w:t>
      </w:r>
      <w:r>
        <w:rPr>
          <w:rFonts w:ascii="Times New Roman" w:hAnsi="Times New Roman"/>
        </w:rPr>
        <w:t xml:space="preserve"> </w:t>
      </w:r>
      <w:r>
        <w:rPr>
          <w:rStyle w:val="VerbatimChar"/>
          <w:rFonts w:ascii="Times New Roman" w:hAnsi="Times New Roman"/>
        </w:rPr>
        <w:t xml:space="preserve">results/pe_p44_</w:t>
      </w:r>
      <w:r>
        <w:rPr>
          <w:rFonts w:ascii="Times New Roman" w:hAnsi="Times New Roman"/>
        </w:rPr>
        <w:t xml:space="preserve">.</w:t>
      </w:r>
    </w:p>
    <w:p>
      <w:pPr>
        <w:pStyle w:val="Heading1"/>
      </w:pPr>
      <w:bookmarkStart w:id="447" w:name="X7d661701ac975e4fecf3f62b1c25bff41e85760"/>
      <w:r>
        <w:rPr>
          <w:rFonts w:ascii="Times New Roman" w:hAnsi="Times New Roman"/>
        </w:rPr>
        <w:t xml:space="preserve">Threats to interpretation and reproducibility contract</w:t>
      </w:r>
      <w:bookmarkEnd w:id="447"/>
    </w:p>
    <w:p>
      <w:pPr>
        <w:pStyle w:val="Heading2"/>
      </w:pPr>
      <w:bookmarkStart w:id="448" w:name="Xe390ed7df57323001b0b6bd3ec17651780b2946"/>
      <w:r>
        <w:rPr>
          <w:rFonts w:ascii="Times New Roman" w:hAnsi="Times New Roman"/>
        </w:rPr>
        <w:t xml:space="preserve">Independent study versus independent record</w:t>
      </w:r>
      <w:bookmarkEnd w:id="448"/>
    </w:p>
    <w:p>
      <w:pPr>
        <w:pStyle w:val="FirstParagraph"/>
      </w:pPr>
      <w:r>
        <w:rPr>
          <w:rFonts w:ascii="Times New Roman" w:hAnsi="Times New Roman"/>
        </w:rPr>
        <w:t xml:space="preserve">An accession is an identifier for a data object, not a statistical replicate. We separately list series, sample and platform identifiers in the machine manifest. The 1,202 individually inspected GSM records were used to verify sample identity and labels but are nested within their GSE studies; the explicit</w:t>
      </w:r>
      <w:r>
        <w:rPr>
          <w:rFonts w:ascii="Times New Roman" w:hAnsi="Times New Roman"/>
        </w:rPr>
        <w:t xml:space="preserve"> </w:t>
      </w:r>
      <w:r>
        <w:rPr>
          <w:rStyle w:val="VerbatimChar"/>
          <w:rFonts w:ascii="Times New Roman" w:hAnsi="Times New Roman"/>
        </w:rPr>
        <w:t xml:space="preserve">gsm_to_study.csv</w:t>
      </w:r>
      <w:r>
        <w:rPr>
          <w:rFonts w:ascii="Times New Roman" w:hAnsi="Times New Roman"/>
        </w:rPr>
        <w:t xml:space="preserve"> </w:t>
      </w:r>
      <w:r>
        <w:rPr>
          <w:rFonts w:ascii="Times New Roman" w:hAnsi="Times New Roman"/>
        </w:rPr>
        <w:t xml:space="preserve">map is essential to prevent accidental inflation of the study count. Because a superseries may redeposit the same GSM, we also disallow a GSM in both discovery and held-out validation after the deterministic duplicate audit. The original pre-correction estimates remain in provenance but cannot be used as final validation.</w:t>
      </w:r>
    </w:p>
    <w:p>
      <w:pPr>
        <w:pStyle w:val="Heading2"/>
      </w:pPr>
      <w:bookmarkStart w:id="449" w:name="protocol-tissue-and-phenotype"/>
      <w:r>
        <w:rPr>
          <w:rFonts w:ascii="Times New Roman" w:hAnsi="Times New Roman"/>
        </w:rPr>
        <w:t xml:space="preserve">Protocol, tissue and phenotype</w:t>
      </w:r>
      <w:bookmarkEnd w:id="449"/>
    </w:p>
    <w:p>
      <w:pPr>
        <w:pStyle w:val="FirstParagraph"/>
      </w:pPr>
      <w:r>
        <w:rPr>
          <w:rFonts w:ascii="Times New Roman" w:hAnsi="Times New Roman"/>
        </w:rPr>
        <w:t xml:space="preserve">A CellxGene human reference dataset of 75,042 normal trophoblast cells from decidua and placenta is catalogued as secondary data, rather than an independent preeclampsia case/control cohort (</w:t>
      </w:r>
      <w:hyperlink r:id="rId450">
        <w:r>
          <w:rPr>
            <w:rStyle w:val="Hyperlink"/>
          </w:rPr>
          <w:t xml:space="preserve">https://cellxgene.cziscience.com/e/ecf2e08e-2032-4a9e-b466-b65b395f4a02.cxg/</w:t>
        </w:r>
      </w:hyperlink>
      <w:r>
        <w:rPr>
          <w:rFonts w:ascii="Times New Roman" w:hAnsi="Times New Roman"/>
        </w:rPr>
        <w:t xml:space="preserve">). It illustrates the cell-composition context that bulk placenta mixes; it cannot validate ST3GAL2. Standardizing a within-cohort mean contrast removes measurement scale, not confounding. Different cell fractions, gestational weeks, fertility treatment, blood collection, pooling, medication and array probes can change the sign of a gene’s effect. Preeclampsia results illustrate this: ST3GAL2’s blood cohort points up while the registered direction was down. The placenta-only sensitivity remains below the decision threshold and is not a replacement for the prespecified four-cohort test. Pooling two patients per library in GSE193123 changes the sampling unit; the variance formula uses three case and three control libraries, not inferred individual measurements.</w:t>
      </w:r>
    </w:p>
    <w:p>
      <w:pPr>
        <w:pStyle w:val="Heading2"/>
      </w:pPr>
      <w:bookmarkStart w:id="451" w:name="Xc9f7a4bd7e15409b925a18feba7d7bfbc49f194"/>
      <w:r>
        <w:rPr>
          <w:rFonts w:ascii="Times New Roman" w:hAnsi="Times New Roman"/>
        </w:rPr>
        <w:t xml:space="preserve">Multiplicity and model-selection boundaries</w:t>
      </w:r>
      <w:bookmarkEnd w:id="451"/>
    </w:p>
    <w:p>
      <w:pPr>
        <w:pStyle w:val="FirstParagraph"/>
      </w:pPr>
      <w:r>
        <w:rPr>
          <w:rFonts w:ascii="Times New Roman" w:hAnsi="Times New Roman"/>
        </w:rPr>
        <w:t xml:space="preserve">The BH formula controls expected false-discovery proportion only under its assumptions for the chosen family; it does not transform a post-hoc shortlist into a registered candidate. The first PCOS exploratory check using a half-probability binomial null looked more promising than the direction-matched null. We retain both numbers, identify the corrected test, and avoid choosing whichever looks favorable. Similarly, a disease panel selected after looking at held-out data would require a new untouched evaluation set. Prediction registration records the accession, feature set, direction, null, threshold and exclusions before processing its expression matrix.</w:t>
      </w:r>
    </w:p>
    <w:p>
      <w:pPr>
        <w:pStyle w:val="Heading2"/>
      </w:pPr>
      <w:bookmarkStart w:id="452" w:name="runnable-artifacts-and-audit-trail"/>
      <w:r>
        <w:rPr>
          <w:rFonts w:ascii="Times New Roman" w:hAnsi="Times New Roman"/>
        </w:rPr>
        <w:t xml:space="preserve">Runnable artifacts and audit trail</w:t>
      </w:r>
      <w:bookmarkEnd w:id="452"/>
    </w:p>
    <w:p>
      <w:pPr>
        <w:pStyle w:val="FirstParagraph"/>
      </w:pPr>
      <w:r>
        <w:rPr>
          <w:rFonts w:ascii="Times New Roman" w:hAnsi="Times New Roman"/>
        </w:rPr>
        <w:t xml:space="preserve">The</w:t>
      </w:r>
      <w:r>
        <w:rPr>
          <w:rFonts w:ascii="Times New Roman" w:hAnsi="Times New Roman"/>
        </w:rPr>
        <w:t xml:space="preserve"> </w:t>
      </w:r>
      <w:r>
        <w:rPr>
          <w:rStyle w:val="VerbatimChar"/>
          <w:rFonts w:ascii="Times New Roman" w:hAnsi="Times New Roman"/>
        </w:rPr>
        <w:t xml:space="preserve">ubiomark</w:t>
      </w:r>
      <w:r>
        <w:rPr>
          <w:rFonts w:ascii="Times New Roman" w:hAnsi="Times New Roman"/>
        </w:rPr>
        <w:t xml:space="preserve"> </w:t>
      </w:r>
      <w:r>
        <w:rPr>
          <w:rFonts w:ascii="Times New Roman" w:hAnsi="Times New Roman"/>
        </w:rPr>
        <w:t xml:space="preserve">Python package exposes reproducible project commands; scripts reconstruct GEO processing, random-effects meta-analysis, graph baselines, CNN evaluation, and figures from local accession downloads and captured annotations. the final split, excluded-series, preregistered-predictions, and per-cohort CSV files record the decisions needed to reproduce negatives as well as positives. Eighteen hermetic tests pass; one tiny-group variance test emits a degrees-of-freedom warning by design. Test passage shows code-path consistency, not external validity or absence of data leakage. Publication requires a fresh clean checkout, pinned sources and complete provenance re-run, and a comparable external benchmark or defensible independently validated discovery; that endpoint is still open.</w:t>
      </w:r>
    </w:p>
    <w:p>
      <w:pPr>
        <w:pStyle w:val="Heading2"/>
      </w:pPr>
      <w:bookmarkStart w:id="453" w:name="Xbe4ddbf1a16ffcfb818ac5a38398a1f381b5c7d"/>
      <w:r>
        <w:rPr>
          <w:rFonts w:ascii="Times New Roman" w:hAnsi="Times New Roman"/>
        </w:rPr>
        <w:t xml:space="preserve">Seeded CNN rerun on the locked 17 held-out cohorts</w:t>
      </w:r>
      <w:bookmarkEnd w:id="453"/>
    </w:p>
    <w:p>
      <w:pPr>
        <w:pStyle w:val="FirstParagraph"/>
      </w:pPr>
      <w:r>
        <w:rPr>
          <w:rFonts w:ascii="Times New Roman" w:hAnsi="Times New Roman"/>
        </w:rPr>
        <w:t xml:space="preserve">After correcting CNN weight initialization so that the declared seed applies before model construction, we reran every cohort in the old split rather than picking favorable rows. The corrected PPI-ordered CNN mean AUROC is 0.576230, versus 0.575203 for a random-order CNN and 0.627559 for logistic regression. CNN minus logistic is -0.051330 averaged without cohort-size weights, or -0.037865 weighting by held-out sample counts. Across the seventeen cohorts the CNN wins seven, loses eight and ties two. A seed-fixed ten-thousand-resample cohort bootstrap of paired differences has a descriptive 95% percentile interval</w:t>
      </w:r>
      <w:r>
        <w:rPr>
          <w:rFonts w:ascii="Times New Roman" w:hAnsi="Times New Roman"/>
        </w:rPr>
        <w:t xml:space="preserve"> </w:t>
      </w:r>
      <w:r>
        <w:rPr>
          <w:rFonts w:ascii="Times New Roman" w:hAnsi="Times New Roman"/>
        </w:rPr>
        <w:drawing>
          <wp:inline>
            <wp:extent cx="1181100" cy="126255"/>
            <wp:effectExtent b="0" l="0" r="0" t="0"/>
            <wp:docPr descr="image" title="" id="1" name="Picture"/>
            <a:graphic>
              <a:graphicData uri="http://schemas.openxmlformats.org/drawingml/2006/picture">
                <pic:pic>
                  <pic:nvPicPr>
                    <pic:cNvPr descr="equations/in352.png" id="0" name="Picture"/>
                    <pic:cNvPicPr>
                      <a:picLocks noChangeArrowheads="1" noChangeAspect="1"/>
                    </pic:cNvPicPr>
                  </pic:nvPicPr>
                  <pic:blipFill>
                    <a:blip r:embed="rId454"/>
                    <a:stretch>
                      <a:fillRect/>
                    </a:stretch>
                  </pic:blipFill>
                  <pic:spPr bwMode="auto">
                    <a:xfrm>
                      <a:off x="0" y="0"/>
                      <a:ext cx="1181100" cy="126255"/>
                    </a:xfrm>
                    <a:prstGeom prst="rect">
                      <a:avLst/>
                    </a:prstGeom>
                    <a:noFill/>
                    <a:ln w="9525">
                      <a:noFill/>
                      <a:headEnd/>
                      <a:tailEnd/>
                    </a:ln>
                  </pic:spPr>
                </pic:pic>
              </a:graphicData>
            </a:graphic>
          </wp:inline>
        </w:drawing>
      </w:r>
      <w:r>
        <w:rPr>
          <w:rFonts w:ascii="Times New Roman" w:hAnsi="Times New Roman"/>
        </w:rPr>
        <w:t xml:space="preserve">; it does not establish population superiority in either direction because cohorts overlap disease families and differ in tissue, patient counts and assay. Fourteen of seventeen CNN holdout scores changed from the historical pre-fix table, while logistic scores were unchanged. The corrected row-level CSV and summary JSON are in the repository’s</w:t>
      </w:r>
      <w:r>
        <w:rPr>
          <w:rFonts w:ascii="Times New Roman" w:hAnsi="Times New Roman"/>
        </w:rPr>
        <w:t xml:space="preserve"> </w:t>
      </w:r>
      <w:r>
        <w:rPr>
          <w:rStyle w:val="VerbatimChar"/>
          <w:rFonts w:ascii="Times New Roman" w:hAnsi="Times New Roman"/>
        </w:rPr>
        <w:t xml:space="preserve">results/</w:t>
      </w:r>
      <w:r>
        <w:rPr>
          <w:rFonts w:ascii="Times New Roman" w:hAnsi="Times New Roman"/>
        </w:rPr>
        <w:t xml:space="preserve"> </w:t>
      </w:r>
      <w:r>
        <w:rPr>
          <w:rFonts w:ascii="Times New Roman" w:hAnsi="Times New Roman"/>
        </w:rPr>
        <w:t xml:space="preserve">folder, with the common stem</w:t>
      </w:r>
      <w:r>
        <w:rPr>
          <w:rFonts w:ascii="Times New Roman" w:hAnsi="Times New Roman"/>
        </w:rPr>
        <w:t xml:space="preserve"> </w:t>
      </w:r>
      <w:r>
        <w:rPr>
          <w:rStyle w:val="VerbatimChar"/>
          <w:rFonts w:ascii="Times New Roman" w:hAnsi="Times New Roman"/>
        </w:rPr>
        <w:t xml:space="preserve">cnn_crosscohort_seeded</w:t>
      </w:r>
      <w:r>
        <w:rPr>
          <w:rFonts w:ascii="Times New Roman" w:hAnsi="Times New Roman"/>
        </w:rPr>
        <w:t xml:space="preserve">; the summary file ends in</w:t>
      </w:r>
      <w:r>
        <w:rPr>
          <w:rFonts w:ascii="Times New Roman" w:hAnsi="Times New Roman"/>
        </w:rPr>
        <w:t xml:space="preserve"> </w:t>
      </w:r>
      <w:r>
        <w:rPr>
          <w:rStyle w:val="VerbatimChar"/>
          <w:rFonts w:ascii="Times New Roman" w:hAnsi="Times New Roman"/>
        </w:rPr>
        <w:t xml:space="preserve">_summary.json</w:t>
      </w:r>
      <w:r>
        <w:rPr>
          <w:rFonts w:ascii="Times New Roman" w:hAnsi="Times New Roman"/>
        </w:rPr>
        <w:t xml:space="preserve">. The older figure and table are retained as historical provenance but are not the current corrected comparison. This remains an in-project loss, not a same-task published benchmark win.</w:t>
      </w:r>
    </w:p>
    <w:p>
      <w:pPr>
        <w:pStyle w:val="Heading1"/>
      </w:pPr>
      <w:bookmarkStart w:id="455" w:name="Xb6c4d7703b18a5faa273ffd4a95a85bc1b02965"/>
      <w:r>
        <w:rPr>
          <w:rFonts w:ascii="Times New Roman" w:hAnsi="Times New Roman"/>
        </w:rPr>
        <w:t xml:space="preserve">Benchmark comparability and quality-control ledger</w:t>
      </w:r>
      <w:bookmarkEnd w:id="455"/>
    </w:p>
    <w:p>
      <w:pPr>
        <w:pStyle w:val="FirstParagraph"/>
      </w:pPr>
      <w:r>
        <w:rPr>
          <w:rFonts w:ascii="Times New Roman" w:hAnsi="Times New Roman"/>
        </w:rPr>
        <w:t xml:space="preserve">A request for a stronger research tool is not evidence that this tool is stronger. The user’s operational threshold is either a measured improvement over the best relevant benchmark, or accuracy matching that benchmark together with a separately measured benefit. No current item-25 score meets either condition. The patient-classifier result in P33 is below the published Lasso test number on the same cohort split; the whole-project CNN mean is below its logistic control. The gene-recovery task uses contemporaneous Open Targets non-expression annotations as a proxy label, not subsequent clinical target success, and no published tool was run on that same target, split, and candidate universe. Even a high within-project AUROC cannot be compared with a drug–disease prediction score or a clinical-trial target score.</w:t>
      </w:r>
    </w:p>
    <w:p>
      <w:pPr>
        <w:pStyle w:val="BodyText"/>
      </w:pPr>
      <w:r>
        <w:rPr>
          <w:rFonts w:ascii="Times New Roman" w:hAnsi="Times New Roman"/>
        </w:rPr>
        <w:t xml:space="preserve">The closest open disease-to-target comparator inspected was OTRec (</w:t>
      </w:r>
      <w:hyperlink r:id="rId456">
        <w:r>
          <w:rPr>
            <w:rStyle w:val="Hyperlink"/>
          </w:rPr>
          <w:t xml:space="preserve">https://github.com/LinialLab/OTRec</w:t>
        </w:r>
      </w:hyperlink>
      <w:r>
        <w:rPr>
          <w:rFonts w:ascii="Times New Roman" w:hAnsi="Times New Roman"/>
        </w:rPr>
        <w:t xml:space="preserve">). Its released retrospective temporal predictions use past Open Targets evidence to rank later clinical-trial disease–target associations. We downloaded the authors’</w:t>
      </w:r>
      <w:r>
        <w:rPr>
          <w:rFonts w:ascii="Times New Roman" w:hAnsi="Times New Roman"/>
        </w:rPr>
        <w:t xml:space="preserve"> </w:t>
      </w:r>
      <w:r>
        <w:rPr>
          <w:rStyle w:val="VerbatimChar"/>
          <w:rFonts w:ascii="Times New Roman" w:hAnsi="Times New Roman"/>
        </w:rPr>
        <w:t xml:space="preserve">S7-temporal_predictions.parquet</w:t>
      </w:r>
      <w:r>
        <w:rPr>
          <w:rFonts w:ascii="Times New Roman" w:hAnsi="Times New Roman"/>
        </w:rPr>
        <w:t xml:space="preserve">, verified its SHA-256</w:t>
      </w:r>
      <w:r>
        <w:rPr>
          <w:rFonts w:ascii="Times New Roman" w:hAnsi="Times New Roman"/>
        </w:rPr>
        <w:t xml:space="preserve"> </w:t>
      </w:r>
      <w:r>
        <w:rPr>
          <w:rStyle w:val="VerbatimChar"/>
          <w:rFonts w:ascii="Times New Roman" w:hAnsi="Times New Roman"/>
        </w:rPr>
        <w:t xml:space="preserve">6a1e9457880a26231c35ff7e9b43d931a91953f3f521431eb75dc4e1ad48fa34</w:t>
      </w:r>
      <w:r>
        <w:rPr>
          <w:rFonts w:ascii="Times New Roman" w:hAnsi="Times New Roman"/>
        </w:rPr>
        <w:t xml:space="preserve">, and checked exact disease ontology identifiers for the ten project labels. Seven have no matching released pairs, Chagas has 32 pairs with no positives, interstitial cystitis has 17 with no positives, and only long COVID has both classes: 90 positives and 96 negatives among 186 uniquely identified genes. An empty exact-ID match is not proof of a biological absence; a future ontology equivalence must be source-checked rather than guessed. The released data have 403,132 total disease–target pairs and 16,074 positives across 11,624 disease IDs; these are pairs, not independent cohorts or new item-25 patient datasets.</w:t>
      </w:r>
    </w:p>
    <w:p>
      <w:pPr>
        <w:pStyle w:val="BodyText"/>
      </w:pPr>
      <w:r>
        <w:rPr>
          <w:rFonts w:ascii="Times New Roman" w:hAnsi="Times New Roman"/>
        </w:rPr>
        <w:t xml:space="preserve">On exactly the 186 long-COVID rows, our read-only</w:t>
      </w:r>
      <w:r>
        <w:rPr>
          <w:rFonts w:ascii="Times New Roman" w:hAnsi="Times New Roman"/>
        </w:rPr>
        <w:t xml:space="preserve"> </w:t>
      </w:r>
      <w:r>
        <w:rPr>
          <w:rFonts w:ascii="Times New Roman" w:hAnsi="Times New Roman"/>
          <w:i/>
        </w:rPr>
        <w:t xml:space="preserve">evaluation of the authors’ released scores</w:t>
      </w:r>
      <w:r>
        <w:rPr>
          <w:rFonts w:ascii="Times New Roman" w:hAnsi="Times New Roman"/>
        </w:rPr>
        <w:t xml:space="preserve"> </w:t>
      </w:r>
      <w:r>
        <w:rPr>
          <w:rFonts w:ascii="Times New Roman" w:hAnsi="Times New Roman"/>
        </w:rPr>
        <w:t xml:space="preserve">gives OTRec AUROC 0.939583 and area under the precision–recall curve 0.874571. Their released OTTree scores give 0.920370 and 0.835192; the past Open Targets scores are zero for every one of these pairs and yield the no-ranking AUROC 0.5 and prevalence PR-AUC 90/186=0.483871. These values are not a ubiomark model result and not the authors’ cross-disease average; the high fraction of positives makes precision–recall averages sensitive to this candidate universe. The published output file and exact script are named in</w:t>
      </w:r>
      <w:r>
        <w:rPr>
          <w:rFonts w:ascii="Times New Roman" w:hAnsi="Times New Roman"/>
        </w:rPr>
        <w:t xml:space="preserve"> </w:t>
      </w:r>
      <w:r>
        <w:rPr>
          <w:rStyle w:val="VerbatimChar"/>
          <w:rFonts w:ascii="Times New Roman" w:hAnsi="Times New Roman"/>
        </w:rPr>
        <w:t xml:space="preserve">results/otrec_temporal_comparability.md</w:t>
      </w:r>
      <w:r>
        <w:rPr>
          <w:rFonts w:ascii="Times New Roman" w:hAnsi="Times New Roman"/>
        </w:rPr>
        <w:t xml:space="preserve">. We inspected these labels while auditing source feasibility; they can no longer function as untouched validation for a model developed in response. A same-task comparison requires a genuinely independent temporal label period or a held-out benchmark fixed before model decisions, historical expression and graph features available prior to that period, identical disease/target universe and exclusions, and measured AUROC, PR-AUC, uncertainty, runtime and coverage for both systems.</w:t>
      </w:r>
    </w:p>
    <w:p>
      <w:pPr>
        <w:pStyle w:val="BodyText"/>
      </w:pPr>
      <w:r>
        <w:rPr>
          <w:rFonts w:ascii="Times New Roman" w:hAnsi="Times New Roman"/>
        </w:rPr>
        <w:t xml:space="preserve">TargetPro/TargetBench is another published reference for clinical-stage disease targets (</w:t>
      </w:r>
      <w:hyperlink r:id="rId457">
        <w:r>
          <w:rPr>
            <w:rStyle w:val="Hyperlink"/>
          </w:rPr>
          <w:t xml:space="preserve">https://www.nature.com/articles/s41598-026-47765-3</w:t>
        </w:r>
      </w:hyperlink>
      <w:r>
        <w:rPr>
          <w:rFonts w:ascii="Times New Roman" w:hAnsi="Times New Roman"/>
        </w:rPr>
        <w:t xml:space="preserve">); its 38-disease five-fold evaluation reports area under the precision–recall curve against its own task, but the custom code is proprietary and available upon request. The disease and label sets cannot be assumed identical to ours. KG-Bench’s temporal Open Targets network protocol (</w:t>
      </w:r>
      <w:hyperlink r:id="rId458">
        <w:r>
          <w:rPr>
            <w:rStyle w:val="Hyperlink"/>
          </w:rPr>
          <w:t xml:space="preserve">https://github.com/cmbi/Benchmark_GNN_OpenTargets/</w:t>
        </w:r>
      </w:hyperlink>
      <w:r>
        <w:rPr>
          <w:rFonts w:ascii="Times New Roman" w:hAnsi="Times New Roman"/>
        </w:rPr>
        <w:t xml:space="preserve">) predicts drug–disease links, not disease–gene links; it informs leakage checks but offers no directly comparable number. No claim of published-best accuracy, lower cost, broader comparable coverage or interpretability advantage follows from these sources alone.</w:t>
      </w:r>
    </w:p>
    <w:p>
      <w:pPr>
        <w:pStyle w:val="BodyText"/>
      </w:pPr>
      <w:r>
        <w:rPr>
          <w:rFonts w:ascii="Times New Roman" w:hAnsi="Times New Roman"/>
        </w:rPr>
        <w:t xml:space="preserve">The internal GNN implementation was also audited. Its earlier training routine seeded PyTorch</w:t>
      </w:r>
      <w:r>
        <w:rPr>
          <w:rFonts w:ascii="Times New Roman" w:hAnsi="Times New Roman"/>
        </w:rPr>
        <w:t xml:space="preserve"> </w:t>
      </w:r>
      <w:r>
        <w:rPr>
          <w:rFonts w:ascii="Times New Roman" w:hAnsi="Times New Roman"/>
          <w:i/>
        </w:rPr>
        <w:t xml:space="preserve">after</w:t>
      </w:r>
      <w:r>
        <w:rPr>
          <w:rFonts w:ascii="Times New Roman" w:hAnsi="Times New Roman"/>
        </w:rPr>
        <w:t xml:space="preserve"> </w:t>
      </w:r>
      <w:r>
        <w:rPr>
          <w:rFonts w:ascii="Times New Roman" w:hAnsi="Times New Roman"/>
        </w:rPr>
        <w:t xml:space="preserve">model parameter initialization; two different initial RNG states yielded unequal predictions despite the same training seed. The corrected constructor now seeds before MLP, GCN and SAGE parameter creation, and two hermetic tests check identical initial weights, an unchanged caller RNG stream, and repeatable training. In the gene-label cross-validation, feature scaling previously used held-out gene features to compute a whole-universe mean and standard deviation; the revised benchmark fits these on training genes only and applies the frozen transform to its test fold. Graph topology remains transductive and labels come from the same evidence snapshot. Eighteen tests pass, but the old numerical</w:t>
      </w:r>
      <w:r>
        <w:rPr>
          <w:rFonts w:ascii="Times New Roman" w:hAnsi="Times New Roman"/>
        </w:rPr>
        <w:t xml:space="preserve"> </w:t>
      </w:r>
      <w:r>
        <w:rPr>
          <w:rFonts w:ascii="Times New Roman" w:hAnsi="Times New Roman"/>
          <w:i/>
        </w:rPr>
        <w:t xml:space="preserve">gene-ranking</w:t>
      </w:r>
      <w:r>
        <w:rPr>
          <w:rFonts w:ascii="Times New Roman" w:hAnsi="Times New Roman"/>
        </w:rPr>
        <w:t xml:space="preserve"> </w:t>
      </w:r>
      <w:r>
        <w:rPr>
          <w:rFonts w:ascii="Times New Roman" w:hAnsi="Times New Roman"/>
        </w:rPr>
        <w:t xml:space="preserve">benchmark tables have</w:t>
      </w:r>
      <w:r>
        <w:rPr>
          <w:rFonts w:ascii="Times New Roman" w:hAnsi="Times New Roman"/>
        </w:rPr>
        <w:t xml:space="preserve"> </w:t>
      </w:r>
      <w:r>
        <w:rPr>
          <w:rFonts w:ascii="Times New Roman" w:hAnsi="Times New Roman"/>
          <w:i/>
        </w:rPr>
        <w:t xml:space="preserve">not</w:t>
      </w:r>
      <w:r>
        <w:rPr>
          <w:rFonts w:ascii="Times New Roman" w:hAnsi="Times New Roman"/>
        </w:rPr>
        <w:t xml:space="preserve"> </w:t>
      </w:r>
      <w:r>
        <w:rPr>
          <w:rFonts w:ascii="Times New Roman" w:hAnsi="Times New Roman"/>
        </w:rPr>
        <w:t xml:space="preserve">been rerun after these changes. They must not be presented as corrected accuracy numbers, let alone a published benchmark break. The final all-label ranker and within-fold evaluation serve different purposes; a candidate score trained on all known proxy labels is not an out-of-sample claim.</w:t>
      </w:r>
    </w:p>
    <w:p>
      <w:pPr>
        <w:pStyle w:val="Heading2"/>
      </w:pPr>
      <w:bookmarkStart w:id="459" w:name="X2e5b41b590bf3c1f9a27270c29eb3080270dfcf"/>
      <w:r>
        <w:rPr>
          <w:rFonts w:ascii="Times New Roman" w:hAnsi="Times New Roman"/>
        </w:rPr>
        <w:t xml:space="preserve">Completed corrected gene-label folds in three diseases</w:t>
      </w:r>
      <w:bookmarkEnd w:id="459"/>
    </w:p>
    <w:p>
      <w:pPr>
        <w:pStyle w:val="FirstParagraph"/>
      </w:pPr>
      <w:r>
        <w:rPr>
          <w:rFonts w:ascii="Times New Roman" w:hAnsi="Times New Roman"/>
        </w:rPr>
        <w:t xml:space="preserve">To avoid discarding a long run at a platform timeout, we separated the corrected gene-ranking evaluation into one disease, one seed and one fold per invocation. The new runner</w:t>
      </w:r>
      <w:r>
        <w:rPr>
          <w:rFonts w:ascii="Times New Roman" w:hAnsi="Times New Roman"/>
        </w:rPr>
        <w:t xml:space="preserve"> </w:t>
      </w:r>
      <w:r>
        <w:rPr>
          <w:rStyle w:val="VerbatimChar"/>
          <w:rFonts w:ascii="Times New Roman" w:hAnsi="Times New Roman"/>
        </w:rPr>
        <w:t xml:space="preserve">scripts/prioritize_fold.py</w:t>
      </w:r>
      <w:r>
        <w:rPr>
          <w:rFonts w:ascii="Times New Roman" w:hAnsi="Times New Roman"/>
        </w:rPr>
        <w:t xml:space="preserve"> </w:t>
      </w:r>
      <w:r>
        <w:rPr>
          <w:rFonts w:ascii="Times New Roman" w:hAnsi="Times New Roman"/>
        </w:rPr>
        <w:t xml:space="preserve">reproduces the feature construction and fixed method hyperparameters of the original runner, fits feature scaling only on training genes, initializes MLP/GCN/SAGE parameters under the declared random seed, masks held-out labels from random-walk seeds, and fits the hybrid random-walk feature scaling on training genes. It writes a separate CSV for each completed fold, refusing to overwrite an existing shard. Source code and all thirty preeclampsia, leishmaniasis and postpartum-depression fold shards are committed; aggregated data are in three disease-named corrected CSVs under</w:t>
      </w:r>
      <w:r>
        <w:rPr>
          <w:rFonts w:ascii="Times New Roman" w:hAnsi="Times New Roman"/>
        </w:rPr>
        <w:t xml:space="preserve"> </w:t>
      </w:r>
      <w:r>
        <w:rPr>
          <w:rStyle w:val="VerbatimChar"/>
          <w:rFonts w:ascii="Times New Roman" w:hAnsi="Times New Roman"/>
        </w:rPr>
        <w:t xml:space="preserve">results/prio/</w:t>
      </w:r>
      <w:r>
        <w:rPr>
          <w:rFonts w:ascii="Times New Roman" w:hAnsi="Times New Roman"/>
        </w:rPr>
        <w:t xml:space="preserve">. Six remaining disease labels in the original gene-ranking task do not have complete corrected folds here; the third completed label is postpartum depression, analyzed below. Nor does the new runner produce candidate rankings: its output is evaluation scores only.</w:t>
      </w:r>
    </w:p>
    <w:p>
      <w:pPr>
        <w:pStyle w:val="BodyText"/>
      </w:pPr>
      <w:r>
        <w:rPr>
          <w:rFonts w:ascii="Times New Roman" w:hAnsi="Times New Roman"/>
        </w:rPr>
        <w:t xml:space="preserve">In preeclampsia, 1,982 of 15,809 genes in the STRING-derived human physical graph meet the existing Open Targets non-expression evidence threshold. Two seeded repetitions of five-fold stratified gene-level splitting give a mean GCN AUROC 0.689634 and PR-AUC 0.280923. Random walk with restart (RWR) yields 0.662790 and 0.259595 on the identical fold test genes. The paired GCN-minus-RWR differences are +0.026844 AUROC and +0.021328 PR-AUC, with ten of ten AUROC and nine of ten PR-AUC fold differences positive. GraphSAGE has a slightly higher mean AUROC 0.690357 but a lower PR-AUC 0.268002 than GCN. Neither two-seed repetition nor method selection after examining it creates a new test cohort. The ten-fold paired bootstrap interval for GCN-minus-RWR AUROC</w:t>
      </w:r>
      <w:r>
        <w:rPr>
          <w:rFonts w:ascii="Times New Roman" w:hAnsi="Times New Roman"/>
        </w:rPr>
        <w:t xml:space="preserve"> </w:t>
      </w:r>
      <w:r>
        <w:rPr>
          <w:rFonts w:ascii="Times New Roman" w:hAnsi="Times New Roman"/>
        </w:rPr>
        <w:drawing>
          <wp:inline>
            <wp:extent cx="1082040" cy="126578"/>
            <wp:effectExtent b="0" l="0" r="0" t="0"/>
            <wp:docPr descr="image" title="" id="1" name="Picture"/>
            <a:graphic>
              <a:graphicData uri="http://schemas.openxmlformats.org/drawingml/2006/picture">
                <pic:pic>
                  <pic:nvPicPr>
                    <pic:cNvPr descr="equations/in367.png" id="0" name="Picture"/>
                    <pic:cNvPicPr>
                      <a:picLocks noChangeArrowheads="1" noChangeAspect="1"/>
                    </pic:cNvPicPr>
                  </pic:nvPicPr>
                  <pic:blipFill>
                    <a:blip r:embed="rId460"/>
                    <a:stretch>
                      <a:fillRect/>
                    </a:stretch>
                  </pic:blipFill>
                  <pic:spPr bwMode="auto">
                    <a:xfrm>
                      <a:off x="0" y="0"/>
                      <a:ext cx="1082040" cy="126578"/>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is descriptive of reused folds, not an interval over independent patients or a claim of a general clinical gain.</w:t>
      </w:r>
    </w:p>
    <w:p>
      <w:pPr>
        <w:pStyle w:val="BodyText"/>
      </w:pPr>
      <w:r>
        <w:rPr>
          <w:rFonts w:ascii="Times New Roman" w:hAnsi="Times New Roman"/>
        </w:rPr>
        <w:t xml:space="preserve">Leishmaniasis supplies an informative conflict between metrics rather than a second uniform win. Its 537 positives occupy the same 15,809-gene graph under its disease-specific proxy labels. GCN averages AUROC 0.763481 and PR-AUC 0.227723, while RWR gives 0.776853 and 0.178609. The paired GCN-minus-RWR AUROC difference is -0.013372 with only two of ten fold wins; its PR-AUC difference is +0.049114 with ten of ten fold wins. A method can improve prioritization among rare positives yet worsen all-pair ranking; reporting only one chosen metric would hide a real tradeoff. GraphSAGE gives 0.766108 AUROC, 0.211571 PR-AUC. The fold bootstrap intervals are descriptive because the same underlying graph, source studies and current label snapshot recur across folds, and because labels rather than patients are the resampling unit.</w:t>
      </w:r>
    </w:p>
    <w:p>
      <w:pPr>
        <w:pStyle w:val="BodyText"/>
      </w:pPr>
      <w:r>
        <w:rPr>
          <w:rFonts w:ascii="Times New Roman" w:hAnsi="Times New Roman"/>
        </w:rPr>
        <w:t xml:space="preserve">The first two corrected reruns demonstrate that corrected GNN code can produce internally measurable comparisons and that the outcome is disease- and metric-dependent. They do</w:t>
      </w:r>
      <w:r>
        <w:rPr>
          <w:rFonts w:ascii="Times New Roman" w:hAnsi="Times New Roman"/>
        </w:rPr>
        <w:t xml:space="preserve"> </w:t>
      </w:r>
      <w:r>
        <w:rPr>
          <w:rFonts w:ascii="Times New Roman" w:hAnsi="Times New Roman"/>
          <w:i/>
        </w:rPr>
        <w:t xml:space="preserve">not</w:t>
      </w:r>
      <w:r>
        <w:rPr>
          <w:rFonts w:ascii="Times New Roman" w:hAnsi="Times New Roman"/>
        </w:rPr>
        <w:t xml:space="preserve"> </w:t>
      </w:r>
      <w:r>
        <w:rPr>
          <w:rFonts w:ascii="Times New Roman" w:hAnsi="Times New Roman"/>
        </w:rPr>
        <w:t xml:space="preserve">satisfy the requested published-best threshold. The comparator is the project’s RWR baseline, not a published tool run under the same candidate universe, evidence date and test outcomes. Labels are current Open Targets disease-gene links selected at the same broad time as some of the input evidence; network neighborhood and feature coverage may correlate with curation. A temporal benchmark would freeze pre-outcome sources, make untouched later disease-target labels available for both systems, match candidate universe and disease definitions, and then test AUROC and PR-AUC with an explicitly selected primary metric. The previously inspected OTRec released long-COVID label set has already been exposed to this investigation and cannot be retroactively repurposed as unseen validation. The corrected two-disease results support software debugging and a benchmark design, not a claim of drug-target clinical prediction or newly validated biomarkers.</w:t>
      </w:r>
    </w:p>
    <w:p>
      <w:pPr>
        <w:pStyle w:val="Heading2"/>
      </w:pPr>
      <w:bookmarkStart w:id="461" w:name="X09b4f1451c7f06796e2e248458c525324dfe11a"/>
      <w:r>
        <w:rPr>
          <w:rFonts w:ascii="Times New Roman" w:hAnsi="Times New Roman"/>
        </w:rPr>
        <w:t xml:space="preserve">Corrected postpartum-depression graph-label folds: propagation wins</w:t>
      </w:r>
      <w:bookmarkEnd w:id="461"/>
    </w:p>
    <w:p>
      <w:pPr>
        <w:pStyle w:val="FirstParagraph"/>
      </w:pPr>
      <w:r>
        <w:rPr>
          <w:rFonts w:ascii="Times New Roman" w:hAnsi="Times New Roman"/>
        </w:rPr>
        <w:t xml:space="preserve">The postpartum-depression disease label has only twenty-five positives among the 15,809 genes in the same physical-interaction graph. We completed the same corrected two-seed, five-fold gene-level evaluation used for preeclampsia and leishmaniasis, saving every fold before aggregation. This is an especially severe ranking-imbalance test: positive prevalence is</w:t>
      </w:r>
      <w:r>
        <w:rPr>
          <w:rFonts w:ascii="Times New Roman" w:hAnsi="Times New Roman"/>
        </w:rPr>
        <w:t xml:space="preserve"> </w:t>
      </w:r>
      <w:r>
        <w:rPr>
          <w:rFonts w:ascii="Times New Roman" w:hAnsi="Times New Roman"/>
        </w:rPr>
        <w:drawing>
          <wp:inline>
            <wp:extent cx="1125220" cy="125474"/>
            <wp:effectExtent b="0" l="0" r="0" t="0"/>
            <wp:docPr descr="image" title="" id="1" name="Picture"/>
            <a:graphic>
              <a:graphicData uri="http://schemas.openxmlformats.org/drawingml/2006/picture">
                <pic:pic>
                  <pic:nvPicPr>
                    <pic:cNvPr descr="equations/in376.png" id="0" name="Picture"/>
                    <pic:cNvPicPr>
                      <a:picLocks noChangeArrowheads="1" noChangeAspect="1"/>
                    </pic:cNvPicPr>
                  </pic:nvPicPr>
                  <pic:blipFill>
                    <a:blip r:embed="rId462"/>
                    <a:stretch>
                      <a:fillRect/>
                    </a:stretch>
                  </pic:blipFill>
                  <pic:spPr bwMode="auto">
                    <a:xfrm>
                      <a:off x="0" y="0"/>
                      <a:ext cx="1125220" cy="125474"/>
                    </a:xfrm>
                    <a:prstGeom prst="rect">
                      <a:avLst/>
                    </a:prstGeom>
                    <a:noFill/>
                    <a:ln w="9525">
                      <a:noFill/>
                      <a:headEnd/>
                      <a:tailEnd/>
                    </a:ln>
                  </pic:spPr>
                </pic:pic>
              </a:graphicData>
            </a:graphic>
          </wp:inline>
        </w:drawing>
      </w:r>
      <w:r>
        <w:rPr>
          <w:rFonts w:ascii="Times New Roman" w:hAnsi="Times New Roman"/>
        </w:rPr>
        <w:t xml:space="preserve">, so an area under the precision–recall curve near a few hundredths should be judged against prevalence, not read as an apparently large absolute precision. The existing label definition is Open Targets non-expression evidence at threshold 0.1. It is not a postpartum clinical diagnosis, a later trial outcome, or an independent patient cohort.</w:t>
      </w:r>
    </w:p>
    <w:p>
      <w:pPr>
        <w:pStyle w:val="BodyText"/>
      </w:pPr>
      <w:r>
        <w:rPr>
          <w:rFonts w:ascii="Times New Roman" w:hAnsi="Times New Roman"/>
        </w:rPr>
        <w:t xml:space="preserve">Mean graph-convolution AUROC is 0.693703 and PR-AUC 0.005920. Random walk with restart (RWR), using only training-fold positive genes as seeds, reaches AUROC 0.803341 and PR-AUC 0.027501. The paired GCN-minus-RWR differences are -0.109638 AUROC and -0.021581 PR-AUC; GCN loses in all ten of ten folds on each metric. GraphSAGE reaches 0.655187/0.007225; its hybrid with RWR reaches 0.795798/0.025485, still below RWR on mean values. Logistic regression achieves 0.581668/0.011997, showing that a method with weaker global AUROC can nevertheless have higher PR-AUC than the pure GCN in a very sparse-positive setting. These method rankings are descriptive within the current proxy task: the ten folds reuse the same graph and labels, and the two seeds do not create independent disease replications.</w:t>
      </w:r>
    </w:p>
    <w:p>
      <w:pPr>
        <w:pStyle w:val="BodyText"/>
      </w:pPr>
      <w:r>
        <w:rPr>
          <w:rFonts w:ascii="Times New Roman" w:hAnsi="Times New Roman"/>
        </w:rPr>
        <w:t xml:space="preserve">This negative cannot be turned into a GNN advantage by choosing an alternative metric after looking at results. It instead sets a disease-specific boundary on what the current expression-plus-graph architecture adds. The result is materially different from the preeclampsia fold comparison, where GCN exceeds RWR on both means, and leishmaniasis, where it has higher PR-AUC but lower AUROC. One cannot average across these label prevalences and clinical meanings as if three diseases were exchangeable patient prediction problems. The fold-level CSV, summary JSON and exact source script are in</w:t>
      </w:r>
      <w:r>
        <w:rPr>
          <w:rFonts w:ascii="Times New Roman" w:hAnsi="Times New Roman"/>
        </w:rPr>
        <w:t xml:space="preserve"> </w:t>
      </w:r>
      <w:r>
        <w:rPr>
          <w:rStyle w:val="VerbatimChar"/>
          <w:rFonts w:ascii="Times New Roman" w:hAnsi="Times New Roman"/>
        </w:rPr>
        <w:t xml:space="preserve">results/prio/</w:t>
      </w:r>
      <w:r>
        <w:rPr>
          <w:rFonts w:ascii="Times New Roman" w:hAnsi="Times New Roman"/>
        </w:rPr>
        <w:t xml:space="preserve">; these newly corrected numbers replace the old pre-fix postpartum graph rows wherever the two conflict. Nothing in this test breaks a published clinical or disease-to-gene benchmark.</w:t>
      </w:r>
    </w:p>
    <w:p>
      <w:pPr>
        <w:pStyle w:val="Heading2"/>
      </w:pPr>
      <w:bookmarkStart w:id="463" w:name="X53a49e99fac2a32e7d24fcff1682076053c2b3c"/>
      <w:r>
        <w:rPr>
          <w:rFonts w:ascii="Times New Roman" w:hAnsi="Times New Roman"/>
        </w:rPr>
        <w:t xml:space="preserve">A second ME/CFS cfRNA publication is not the P33 comparison</w:t>
      </w:r>
      <w:bookmarkEnd w:id="463"/>
    </w:p>
    <w:p>
      <w:pPr>
        <w:pStyle w:val="FirstParagraph"/>
      </w:pPr>
      <w:r>
        <w:rPr>
          <w:rFonts w:ascii="Times New Roman" w:hAnsi="Times New Roman"/>
        </w:rPr>
        <w:t xml:space="preserve">A June 2026 Nature Communications study reuses GSE293840 plasma cfRNA to compare machine-learning workflows with language-model pipelines (</w:t>
      </w:r>
      <w:hyperlink r:id="rId464">
        <w:r>
          <w:rPr>
            <w:rStyle w:val="Hyperlink"/>
          </w:rPr>
          <w:t xml:space="preserve">https://www.nature.com/articles/s41467-026-74077-x</w:t>
        </w:r>
      </w:hyperlink>
      <w:r>
        <w:rPr>
          <w:rFonts w:ascii="Times New Roman" w:hAnsi="Times New Roman"/>
        </w:rPr>
        <w:t xml:space="preserve">). We downloaded the authors’ 50-row ME/CFS accuracy table (</w:t>
      </w:r>
      <w:hyperlink r:id="rId465">
        <w:r>
          <w:rPr>
            <w:rStyle w:val="Hyperlink"/>
          </w:rPr>
          <w:t xml:space="preserve">https://raw.githubusercontent.com/adb258/cfrna_ai_manuscript/main/data/joined_df_MECFS.csv</w:t>
        </w:r>
      </w:hyperlink>
      <w:r>
        <w:rPr>
          <w:rFonts w:ascii="Times New Roman" w:hAnsi="Times New Roman"/>
        </w:rPr>
        <w:t xml:space="preserve">). In that published table, GLMNETLasso averages accuracy 0.579474 and GLMNETRidge 0.599474 across the authors’ fifty test seeds; these are the authors’ scores, not results for our tool. Their standard workflow uses training-set differential-abundance selection, DESeq2 variance-stabilizing transformation, five-fold training tuning and a training-optimized Youden threshold. Its ME/CFS selection rule is uncorrected differential-expression</w:t>
      </w:r>
      <w:r>
        <w:rPr>
          <w:rFonts w:ascii="Times New Roman" w:hAnsi="Times New Roman"/>
        </w:rPr>
        <w:t xml:space="preserve"> </w:t>
      </w:r>
      <w:r>
        <w:rPr>
          <w:rFonts w:ascii="Times New Roman" w:hAnsi="Times New Roman"/>
        </w:rPr>
        <w:drawing>
          <wp:inline>
            <wp:extent cx="457200" cy="102053"/>
            <wp:effectExtent b="0" l="0" r="0" t="0"/>
            <wp:docPr descr="image" title="" id="1" name="Picture"/>
            <a:graphic>
              <a:graphicData uri="http://schemas.openxmlformats.org/drawingml/2006/picture">
                <pic:pic>
                  <pic:nvPicPr>
                    <pic:cNvPr descr="equations/in391.png" id="0" name="Picture"/>
                    <pic:cNvPicPr>
                      <a:picLocks noChangeArrowheads="1" noChangeAspect="1"/>
                    </pic:cNvPicPr>
                  </pic:nvPicPr>
                  <pic:blipFill>
                    <a:blip r:embed="rId466"/>
                    <a:stretch>
                      <a:fillRect/>
                    </a:stretch>
                  </pic:blipFill>
                  <pic:spPr bwMode="auto">
                    <a:xfrm>
                      <a:off x="0" y="0"/>
                      <a:ext cx="457200" cy="102053"/>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with baseMean</w:t>
      </w:r>
      <w:r>
        <w:rPr>
          <w:rFonts w:ascii="Times New Roman" w:hAnsi="Times New Roman"/>
        </w:rPr>
        <w:t xml:space="preserve"> </w:t>
      </w:r>
      <w:r>
        <w:rPr>
          <w:rFonts w:ascii="Times New Roman" w:hAnsi="Times New Roman"/>
        </w:rPr>
        <w:drawing>
          <wp:inline>
            <wp:extent cx="260350" cy="88183"/>
            <wp:effectExtent b="0" l="0" r="0" t="0"/>
            <wp:docPr descr="image" title="" id="1" name="Picture"/>
            <a:graphic>
              <a:graphicData uri="http://schemas.openxmlformats.org/drawingml/2006/picture">
                <pic:pic>
                  <pic:nvPicPr>
                    <pic:cNvPr descr="equations/in392.png" id="0" name="Picture"/>
                    <pic:cNvPicPr>
                      <a:picLocks noChangeArrowheads="1" noChangeAspect="1"/>
                    </pic:cNvPicPr>
                  </pic:nvPicPr>
                  <pic:blipFill>
                    <a:blip r:embed="rId467"/>
                    <a:stretch>
                      <a:fillRect/>
                    </a:stretch>
                  </pic:blipFill>
                  <pic:spPr bwMode="auto">
                    <a:xfrm>
                      <a:off x="0" y="0"/>
                      <a:ext cx="260350" cy="88183"/>
                    </a:xfrm>
                    <a:prstGeom prst="rect">
                      <a:avLst/>
                    </a:prstGeom>
                    <a:noFill/>
                    <a:ln w="9525">
                      <a:noFill/>
                      <a:headEnd/>
                      <a:tailEnd/>
                    </a:ln>
                  </pic:spPr>
                </pic:pic>
              </a:graphicData>
            </a:graphic>
          </wp:inline>
        </w:drawing>
      </w:r>
      <w:r>
        <w:rPr>
          <w:rFonts w:ascii="Times New Roman" w:hAnsi="Times New Roman"/>
        </w:rPr>
        <w:t xml:space="preserve">, then an assay-specific feature limit. Such a result is not numerically comparable with P33’s 0.723214 AUROC on thirty-one provided VST genes or its published source artifact’s 0.810268 AUROC.</w:t>
      </w:r>
    </w:p>
    <w:p>
      <w:pPr>
        <w:pStyle w:val="BodyText"/>
      </w:pPr>
      <w:r>
        <w:rPr>
          <w:rFonts w:ascii="Times New Roman" w:hAnsi="Times New Roman"/>
        </w:rPr>
        <w:t xml:space="preserve">The published repository also supplies sample-index CSVs in its end-to-end language-model archive (</w:t>
      </w:r>
      <w:hyperlink r:id="rId468">
        <w:r>
          <w:rPr>
            <w:rStyle w:val="Hyperlink"/>
          </w:rPr>
          <w:t xml:space="preserve">https://raw.githubusercontent.com/adb258/cfrna_ai_manuscript/main/data/full%20pipeline/DONE_o3_MECFS_informed.zip</w:t>
        </w:r>
      </w:hyperlink>
      <w:r>
        <w:rPr>
          <w:rFonts w:ascii="Times New Roman" w:hAnsi="Times New Roman"/>
        </w:rPr>
        <w:t xml:space="preserve">). We checked all fifty of those held-out indices: each identifies thirty-eight people, whereas P33’s seed-22 source split holds out sixty of 168. Even the identically numbered seed 22 overlaps P33’s test set in only fifteen people and includes twenty-three people from P33’s training set. The union across fifty archive indices contains 147 unique people, all within P33’s 168-person set; twenty-one P33 people never appear in any of the released held-out indices. Among those twenty-one, nine are ME/CFS men and twelve are controls (seven men, five women), but absence from this LLM archive is not proof of a published sample-exclusion rule. A partial population overlap is not a shared train/test evaluation. The archive is an LLM-run provenance source; its fifty different split files are not fifty independent cohort studies, and their sample indices do not reveal the standard-ML per-patient continuous scores or substitute for an exact rerun of the original feature-selection workflow.</w:t>
      </w:r>
    </w:p>
    <w:p>
      <w:pPr>
        <w:pStyle w:val="BodyText"/>
      </w:pPr>
      <w:r>
        <w:rPr>
          <w:rFonts w:ascii="Times New Roman" w:hAnsi="Times New Roman"/>
        </w:rPr>
        <w:t xml:space="preserve">This comparison has a positive implication for reproducibility, not for performance: patient IDs can expose split mismatch even when a seed number, disease name and GSE accession look identical. The ZIP SHA-256, CSV SHA-256, table means, all-fifty index audit and exact overlap counts are saved in</w:t>
      </w:r>
      <w:r>
        <w:rPr>
          <w:rFonts w:ascii="Times New Roman" w:hAnsi="Times New Roman"/>
        </w:rPr>
        <w:t xml:space="preserve"> </w:t>
      </w:r>
      <w:r>
        <w:rPr>
          <w:rStyle w:val="VerbatimChar"/>
          <w:rFonts w:ascii="Times New Roman" w:hAnsi="Times New Roman"/>
        </w:rPr>
        <w:t xml:space="preserve">results/external/mecfs_2026_published_accuracy_comparability.json</w:t>
      </w:r>
      <w:r>
        <w:rPr>
          <w:rFonts w:ascii="Times New Roman" w:hAnsi="Times New Roman"/>
        </w:rPr>
        <w:t xml:space="preserve">. A future same-task test would need the authors’ precise per-seed training/test indices, batch and site constraints, feature-selection procedure, classifier prediction convention and threshold before scoring our model on those same held-out people. Until then there is neither a demonstrated higher accuracy nor an equal-accuracy plus-point.</w:t>
      </w:r>
    </w:p>
    <w:p>
      <w:pPr>
        <w:pStyle w:val="Heading2"/>
      </w:pPr>
      <w:bookmarkStart w:id="469" w:name="Xe46f404fae55f7f7cd1e8f4ff1c14833610f9f2"/>
      <w:r>
        <w:rPr>
          <w:rFonts w:ascii="Times New Roman" w:hAnsi="Times New Roman"/>
        </w:rPr>
        <w:t xml:space="preserve">Newer literature narrows postpartum and long-COVID novelty claims</w:t>
      </w:r>
      <w:bookmarkEnd w:id="469"/>
    </w:p>
    <w:p>
      <w:pPr>
        <w:pStyle w:val="FirstParagraph"/>
      </w:pPr>
      <w:r>
        <w:rPr>
          <w:rFonts w:ascii="Times New Roman" w:hAnsi="Times New Roman"/>
        </w:rPr>
        <w:t xml:space="preserve">An August 2026 postpartum-depression study used proteomic and genetic summary data, Mendelian-randomization and transcriptomic or methylation association layers to prioritize SRA1 (</w:t>
      </w:r>
      <w:hyperlink r:id="rId470">
        <w:r>
          <w:rPr>
            <w:rStyle w:val="Hyperlink"/>
          </w:rPr>
          <w:t xml:space="preserve">https://www.nature.com/articles/s44184-026-00232-3</w:t>
        </w:r>
      </w:hyperlink>
      <w:r>
        <w:rPr>
          <w:rFonts w:ascii="Times New Roman" w:hAnsi="Times New Roman"/>
        </w:rPr>
        <w:t xml:space="preserve">). Its reported PPD genome-wide association source covers 17,339 cases and 53,426 controls, while its two proteome resources summarize 35,559 Icelanders and 828 FinnGen participants. These figures identify distinct source populations and modalities, not a public postpartum whole-blood gene-expression holdout for our model. The study’s SRA1 target and another 2026 MKRN1 target-prioritization report (</w:t>
      </w:r>
      <w:hyperlink r:id="rId471">
        <w:r>
          <w:rPr>
            <w:rStyle w:val="Hyperlink"/>
          </w:rPr>
          <w:t xml:space="preserve">https://www.nature.com/articles/s41398-026-03886-x</w:t>
        </w:r>
      </w:hyperlink>
      <w:r>
        <w:rPr>
          <w:rFonts w:ascii="Times New Roman" w:hAnsi="Times New Roman"/>
        </w:rPr>
        <w:t xml:space="preserve">) weaken any blanket novelty assertion for genes found by a current-annotation graph. Neither source yields a like-for-like benchmark for our 25-positive, same-snapshot Open Targets gene-label recovery because they use inherited GWAS evidence and causal-interpretation assumptions rather than our fixed graph folds. The honest next test is to separate prior evidence dates and evaluate genuinely later targets, not to attach a causal label to our current graph score.</w:t>
      </w:r>
    </w:p>
    <w:p>
      <w:pPr>
        <w:pStyle w:val="BodyText"/>
      </w:pPr>
      <w:r>
        <w:rPr>
          <w:rFonts w:ascii="Times New Roman" w:hAnsi="Times New Roman"/>
        </w:rPr>
        <w:t xml:space="preserve">For long COVID, an August 2026 Communications Medicine study measured circulating microRNA ratios (</w:t>
      </w:r>
      <w:hyperlink r:id="rId472">
        <w:r>
          <w:rPr>
            <w:rStyle w:val="Hyperlink"/>
          </w:rPr>
          <w:t xml:space="preserve">https://www.nature.com/articles/s43856-026-01854-6</w:t>
        </w:r>
      </w:hyperlink>
      <w:r>
        <w:rPr>
          <w:rFonts w:ascii="Times New Roman" w:hAnsi="Times New Roman"/>
        </w:rPr>
        <w:t xml:space="preserve">). It recruited 206 long-COVID patients and 71 uninfected, unvaccinated healthy controls, trained a ratio-plus-age/sex logistic model with training AUROC 0.760, and observed external-validation AUROC 0.676 plus risk overestimation (calibration intercept -1.88, slope 0.77). That is a real caution about apparent test performance, but not a baseline for our whole-blood mRNA, cfRNA or gene-network analyses: both the molecule type and healthy-versus-recovered comparator differ. A separate 2026 Scientific Reports cohort measured a small targeted set of PBMC mRNAs by qRT-PCR in fifty long-COVID and fifty recovered controls roughly ten months after infection (</w:t>
      </w:r>
      <w:hyperlink r:id="rId473">
        <w:r>
          <w:rPr>
            <w:rStyle w:val="Hyperlink"/>
          </w:rPr>
          <w:t xml:space="preserve">https://www.nature.com/articles/s41598-026-53455-x</w:t>
        </w:r>
      </w:hyperlink>
      <w:r>
        <w:rPr>
          <w:rFonts w:ascii="Times New Roman" w:hAnsi="Times New Roman"/>
        </w:rPr>
        <w:t xml:space="preserve">). Its closer comparator is still a selected gene panel and another assay, with no inspected public patient-level matrix. These papers give explicit phenotype and assay choices for future prospective validation; they are not additional used accession records or an opportunistic source of a purported published-best break.</w:t>
      </w:r>
    </w:p>
    <w:p>
      <w:pPr>
        <w:pStyle w:val="Heading2"/>
      </w:pPr>
      <w:bookmarkStart w:id="474" w:name="X110f25b077adbdbaf84a507fb1a513fb8c8a0b8"/>
      <w:r>
        <w:rPr>
          <w:rFonts w:ascii="Times New Roman" w:hAnsi="Times New Roman"/>
        </w:rPr>
        <w:t xml:space="preserve">Why metadata-rich cohorts still do not solve early PE prediction</w:t>
      </w:r>
      <w:bookmarkEnd w:id="474"/>
    </w:p>
    <w:p>
      <w:pPr>
        <w:pStyle w:val="FirstParagraph"/>
      </w:pPr>
      <w:r>
        <w:rPr>
          <w:rFonts w:ascii="Times New Roman" w:hAnsi="Times New Roman"/>
        </w:rPr>
        <w:t xml:space="preserve">The PE panel’s repeated late-placenta down-regulation is not interchangeable with early clinical prediction. GSE192902 plasma cfRNA at the first at-most-twelve-week draw supplied 127 women across three named internal arms, but the six-gene placental shortlist measured only five genes and missed its across-arm rule (</w:t>
      </w:r>
      <w:hyperlink r:id="rId89">
        <w:r>
          <w:rPr>
            <w:rStyle w:val="Hyperlink"/>
          </w:rPr>
          <w:t xml:space="preserve">https://www.ncbi.nlm.nih.gov/geo/query/acc.cgi?acc=GSE192902</w:t>
        </w:r>
      </w:hyperlink>
      <w:r>
        <w:rPr>
          <w:rFonts w:ascii="Times New Roman" w:hAnsi="Times New Roman"/>
        </w:rPr>
        <w:t xml:space="preserve">). The independent unit in that early-plasma analysis is a mother, not a gene, sequence read, repeat draw or internal dataset label. GSE272342’s thirty-two twin placental specimens reduce to sixteen pregnancies, with seven affected pregnancies and nine controls: a birth-tissue PE signal may track fetal growth pathology as much as disease-specific hypertension (</w:t>
      </w:r>
      <w:hyperlink r:id="rId81">
        <w:r>
          <w:rPr>
            <w:rStyle w:val="Hyperlink"/>
          </w:rPr>
          <w:t xml:space="preserve">https://www.ncbi.nlm.nih.gov/geo/query/acc.cgi?acc=GSE272342</w:t>
        </w:r>
      </w:hyperlink>
      <w:r>
        <w:rPr>
          <w:rFonts w:ascii="Times New Roman" w:hAnsi="Times New Roman"/>
        </w:rPr>
        <w:t xml:space="preserve">). The pregnancy-level panel there agreed in four of six directions, so even that favorable tissue context did not meet the registered all-six rule. GSE148241 late-onset severe PE had six of six down signs and four corrected hits against normal term tissue, but early- versus late-gestation and case severity were not balanced by the available per-GSM fields (</w:t>
      </w:r>
      <w:hyperlink r:id="rId209">
        <w:r>
          <w:rPr>
            <w:rStyle w:val="Hyperlink"/>
          </w:rPr>
          <w:t xml:space="preserve">https://www.ncbi.nlm.nih.gov/geo/query/acc.cgi?acc=GSE148241</w:t>
        </w:r>
      </w:hyperlink>
      <w:r>
        <w:rPr>
          <w:rFonts w:ascii="Times New Roman" w:hAnsi="Times New Roman"/>
        </w:rPr>
        <w:t xml:space="preserve">). The same symbol FES appearing in several selected placenta tests is thus not evidence of a first-trimester maternal screening assay.</w:t>
      </w:r>
    </w:p>
    <w:p>
      <w:pPr>
        <w:pStyle w:val="BodyText"/>
      </w:pPr>
      <w:r>
        <w:rPr>
          <w:rFonts w:ascii="Times New Roman" w:hAnsi="Times New Roman"/>
        </w:rPr>
        <w:t xml:space="preserve">The design distinction can be made operational. A prediction intended at twelve weeks must lock its draw time before symptoms and diagnosis, use maternal blood obtainable at that time, and choose an external pregnancy-level cohort whose outcome is adjudicated later. A birth-placenta comparison can instead ask which disease-associated tissue states recur, conditional on gestational age, growth restriction, collection and placental pathology; it cannot answer the earlier decision problem without longitudinal evidence. The GSE303463 re-mapping explicitly aggregates older deposits and new material; because person-to-source membership is unresolved, apparent sample-level non-overlap does not prove independent participants (</w:t>
      </w:r>
      <w:hyperlink r:id="rId132">
        <w:r>
          <w:rPr>
            <w:rStyle w:val="Hyperlink"/>
          </w:rPr>
          <w:t xml:space="preserve">https://www.ncbi.nlm.nih.gov/geo/query/acc.cgi?acc=GSE303463</w:t>
        </w:r>
      </w:hyperlink>
      <w:r>
        <w:rPr>
          <w:rFonts w:ascii="Times New Roman" w:hAnsi="Times New Roman"/>
        </w:rPr>
        <w:t xml:space="preserve">). A postdiagnosis gestational-age adjustment may remove a mediator, not merely control a confounder. Neither a low conditional</w:t>
      </w:r>
      <w:r>
        <w:rPr>
          <w:rFonts w:ascii="Times New Roman" w:hAnsi="Times New Roman"/>
        </w:rPr>
        <w:t xml:space="preserve"> </w:t>
      </w:r>
      <w:r>
        <w:rPr>
          <w:rFonts w:ascii="Times New Roman" w:hAnsi="Times New Roman"/>
        </w:rPr>
        <w:drawing>
          <wp:inline>
            <wp:extent cx="63500" cy="76200"/>
            <wp:effectExtent b="0" l="0" r="0" t="0"/>
            <wp:docPr descr="image" title="" id="1" name="Picture"/>
            <a:graphic>
              <a:graphicData uri="http://schemas.openxmlformats.org/drawingml/2006/picture">
                <pic:pic>
                  <pic:nvPicPr>
                    <pic:cNvPr descr="equations/in015.png" id="0" name="Picture"/>
                    <pic:cNvPicPr>
                      <a:picLocks noChangeArrowheads="1" noChangeAspect="1"/>
                    </pic:cNvPicPr>
                  </pic:nvPicPr>
                  <pic:blipFill>
                    <a:blip r:embed="rId47"/>
                    <a:stretch>
                      <a:fillRect/>
                    </a:stretch>
                  </pic:blipFill>
                  <pic:spPr bwMode="auto">
                    <a:xfrm>
                      <a:off x="0" y="0"/>
                      <a:ext cx="63500" cy="762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value nor a cross-archive duplicate record repairs cohort dependence.</w:t>
      </w:r>
    </w:p>
    <w:p>
      <w:pPr>
        <w:pStyle w:val="BodyText"/>
      </w:pPr>
      <w:r>
        <w:rPr>
          <w:rFonts w:ascii="Times New Roman" w:hAnsi="Times New Roman"/>
        </w:rPr>
        <w:t xml:space="preserve">Two source audits give a stopping rule rather than another opportunistic test. GSE295760’s mRNA cohort description conflicts with its publicly labeled counts and with cross-modality tokens for four participants, so its early villus expression effects were excluded before inference (</w:t>
      </w:r>
      <w:hyperlink r:id="rId80">
        <w:r>
          <w:rPr>
            <w:rStyle w:val="Hyperlink"/>
          </w:rPr>
          <w:t xml:space="preserve">https://www.ncbi.nlm.nih.gov/geo/query/acc.cgi?acc=GSE295760</w:t>
        </w:r>
      </w:hyperlink>
      <w:r>
        <w:rPr>
          <w:rFonts w:ascii="Times New Roman" w:hAnsi="Times New Roman"/>
        </w:rPr>
        <w:t xml:space="preserve">). GSE262147’s title</w:t>
      </w:r>
      <w:r>
        <w:rPr>
          <w:rFonts w:ascii="Times New Roman" w:hAnsi="Times New Roman"/>
        </w:rPr>
        <w:t xml:space="preserve"> </w:t>
      </w:r>
      <w:r>
        <w:rPr>
          <w:rStyle w:val="VerbatimChar"/>
          <w:rFonts w:ascii="Times New Roman" w:hAnsi="Times New Roman"/>
        </w:rPr>
        <w:t xml:space="preserve">T_10_V1</w:t>
      </w:r>
      <w:r>
        <w:rPr>
          <w:rFonts w:ascii="Times New Roman" w:hAnsi="Times New Roman"/>
        </w:rPr>
        <w:t xml:space="preserve"> </w:t>
      </w:r>
      <w:r>
        <w:rPr>
          <w:rFonts w:ascii="Times New Roman" w:hAnsi="Times New Roman"/>
        </w:rPr>
        <w:t xml:space="preserve">contradicts its PE source/group fields; a second BioSamples record repeats the contradiction and its ENA run only proves sequencing identity, not diagnosis (</w:t>
      </w:r>
      <w:hyperlink r:id="rId475">
        <w:r>
          <w:rPr>
            <w:rStyle w:val="Hyperlink"/>
          </w:rPr>
          <w:t xml:space="preserve">https://www.ncbi.nlm.nih.gov/geo/query/acc.cgi?acc=GSM8158605</w:t>
        </w:r>
      </w:hyperlink>
      <w:r>
        <w:rPr>
          <w:rFonts w:ascii="Times New Roman" w:hAnsi="Times New Roman"/>
        </w:rPr>
        <w:t xml:space="preserve">). Without a patient-to-library crosswalk, relabeling the single ambiguous library from its title or group would make the chosen contrast depend on an untested assumption. Their assay matrices may be real, yet neither is a clean untouched validation until the clinical mapping is obtained. This is why the accession tally stays separate from effect-used cohort counts.</w:t>
      </w:r>
    </w:p>
    <w:p>
      <w:pPr>
        <w:pStyle w:val="Heading2"/>
      </w:pPr>
      <w:bookmarkStart w:id="476" w:name="Xa41e13555946d1fc4c1c3ebd7242c90af824ae5"/>
      <w:r>
        <w:rPr>
          <w:rFonts w:ascii="Times New Roman" w:hAnsi="Times New Roman"/>
        </w:rPr>
        <w:t xml:space="preserve">Long-COVID published-panel transport is a comparator-mismatch chain</w:t>
      </w:r>
      <w:bookmarkEnd w:id="476"/>
    </w:p>
    <w:p>
      <w:pPr>
        <w:pStyle w:val="FirstParagraph"/>
      </w:pPr>
      <w:r>
        <w:rPr>
          <w:rFonts w:ascii="Times New Roman" w:hAnsi="Times New Roman"/>
        </w:rPr>
        <w:t xml:space="preserve">The long-COVID sequence P36–P38 illustrates why favorable signs in two cohort types do not amount to a published classifier break. The P36 source paper selected JAK1, CXCL8, BCL2L1, OSM, MAP3K8 and STAT3 in its own whole-blood population; these are</w:t>
      </w:r>
      <w:r>
        <w:rPr>
          <w:rFonts w:ascii="Times New Roman" w:hAnsi="Times New Roman"/>
        </w:rPr>
        <w:t xml:space="preserve"> </w:t>
      </w:r>
      <w:r>
        <w:rPr>
          <w:rFonts w:ascii="Times New Roman" w:hAnsi="Times New Roman"/>
          <w:i/>
        </w:rPr>
        <w:t xml:space="preserve">published prior picks</w:t>
      </w:r>
      <w:r>
        <w:rPr>
          <w:rFonts w:ascii="Times New Roman" w:hAnsi="Times New Roman"/>
        </w:rPr>
        <w:t xml:space="preserve">, not six genes newly identified by this project (</w:t>
      </w:r>
      <w:hyperlink r:id="rId326">
        <w:r>
          <w:rPr>
            <w:rStyle w:val="Hyperlink"/>
          </w:rPr>
          <w:t xml:space="preserve">https://www.nature.com/articles/s41590-025-02353-x</w:t>
        </w:r>
      </w:hyperlink>
      <w:r>
        <w:rPr>
          <w:rFonts w:ascii="Times New Roman" w:hAnsi="Times New Roman"/>
        </w:rPr>
        <w:t xml:space="preserve">). A separate GSE226260 count arm has 103 libraries but only thirty-seven uniquely inferred participants at the selected comparison time: seventeen persistent-symptom cases versus twenty recovered controls (</w:t>
      </w:r>
      <w:hyperlink r:id="rId325">
        <w:r>
          <w:rPr>
            <w:rStyle w:val="Hyperlink"/>
          </w:rPr>
          <w:t xml:space="preserve">https://www.ncbi.nlm.nih.gov/geo/query/acc.cgi?acc=GSE226260</w:t>
        </w:r>
      </w:hyperlink>
      <w:r>
        <w:rPr>
          <w:rFonts w:ascii="Times New Roman" w:hAnsi="Times New Roman"/>
        </w:rPr>
        <w:t xml:space="preserve">). Five of the six genes point UP there, and the direction-matched random-panel tail is</w:t>
      </w:r>
      <w:r>
        <w:rPr>
          <w:rFonts w:ascii="Times New Roman" w:hAnsi="Times New Roman"/>
        </w:rPr>
        <w:t xml:space="preserve"> </w:t>
      </w:r>
      <w:r>
        <w:rPr>
          <w:rFonts w:ascii="Times New Roman" w:hAnsi="Times New Roman"/>
        </w:rPr>
        <w:drawing>
          <wp:inline>
            <wp:extent cx="647700" cy="101839"/>
            <wp:effectExtent b="0" l="0" r="0" t="0"/>
            <wp:docPr descr="image" title="" id="1" name="Picture"/>
            <a:graphic>
              <a:graphicData uri="http://schemas.openxmlformats.org/drawingml/2006/picture">
                <pic:pic>
                  <pic:nvPicPr>
                    <pic:cNvPr descr="equations/in399.png" id="0" name="Picture"/>
                    <pic:cNvPicPr>
                      <a:picLocks noChangeArrowheads="1" noChangeAspect="1"/>
                    </pic:cNvPicPr>
                  </pic:nvPicPr>
                  <pic:blipFill>
                    <a:blip r:embed="rId477"/>
                    <a:stretch>
                      <a:fillRect/>
                    </a:stretch>
                  </pic:blipFill>
                  <pic:spPr bwMode="auto">
                    <a:xfrm>
                      <a:off x="0" y="0"/>
                      <a:ext cx="647700" cy="101839"/>
                    </a:xfrm>
                    <a:prstGeom prst="rect">
                      <a:avLst/>
                    </a:prstGeom>
                    <a:noFill/>
                    <a:ln w="9525">
                      <a:noFill/>
                      <a:headEnd/>
                      <a:tailEnd/>
                    </a:ln>
                  </pic:spPr>
                </pic:pic>
              </a:graphicData>
            </a:graphic>
          </wp:inline>
        </w:drawing>
      </w:r>
      <w:r>
        <w:rPr>
          <w:rFonts w:ascii="Times New Roman" w:hAnsi="Times New Roman"/>
        </w:rPr>
        <w:t xml:space="preserve">; JAK1 reverses. The registered all-six criterion fails. That empirical tail describes a source-selected signature in a distinct arm with subject reuse risk, not an untouched diagnostic discovery. Repeated visits add within-person samples, not independent cases.</w:t>
      </w:r>
    </w:p>
    <w:p>
      <w:pPr>
        <w:pStyle w:val="BodyText"/>
      </w:pPr>
      <w:r>
        <w:rPr>
          <w:rFonts w:ascii="Times New Roman" w:hAnsi="Times New Roman"/>
        </w:rPr>
        <w:t xml:space="preserve">The P37 NanoString PBMC source measured a fixed, targeted 635-gene immune-exhaustion panel in fifteen long-COVID, eighteen healthy and fourteen ME/CFS patients (</w:t>
      </w:r>
      <w:hyperlink r:id="rId342">
        <w:r>
          <w:rPr>
            <w:rStyle w:val="Hyperlink"/>
          </w:rPr>
          <w:t xml:space="preserve">https://www.ncbi.nlm.nih.gov/geo/query/acc.cgi?acc=GSE275334</w:t>
        </w:r>
      </w:hyperlink>
      <w:r>
        <w:rPr>
          <w:rFonts w:ascii="Times New Roman" w:hAnsi="Times New Roman"/>
        </w:rPr>
        <w:t xml:space="preserve">;</w:t>
      </w:r>
      <w:r>
        <w:rPr>
          <w:rFonts w:ascii="Times New Roman" w:hAnsi="Times New Roman"/>
        </w:rPr>
        <w:t xml:space="preserve"> </w:t>
      </w:r>
      <w:hyperlink r:id="rId343">
        <w:r>
          <w:rPr>
            <w:rStyle w:val="Hyperlink"/>
          </w:rPr>
          <w:t xml:space="preserve">https://doi.org/10.1172/jci.insight.183810</w:t>
        </w:r>
      </w:hyperlink>
      <w:r>
        <w:rPr>
          <w:rFonts w:ascii="Times New Roman" w:hAnsi="Times New Roman"/>
        </w:rPr>
        <w:t xml:space="preserve">). On its depositor-normalized scale, five of six published UP genes still point UP, but BCL2L1 reverses; only MAP3K8 meets the six-gene Bonferroni threshold, so the all-six rule again fails. Its healthy controls were not the infected-recovered comparators of P36. The PBMC cell mix, targeted assay and selected immunology panel each can affect rank and measured coverage. One favorable MAP3K8 result within a fixed, source-published set is descriptive recurrence, not a new marker or proof of disease specificity across control definitions.</w:t>
      </w:r>
    </w:p>
    <w:p>
      <w:pPr>
        <w:pStyle w:val="BodyText"/>
      </w:pPr>
      <w:r>
        <w:rPr>
          <w:rFonts w:ascii="Times New Roman" w:hAnsi="Times New Roman"/>
        </w:rPr>
        <w:t xml:space="preserve">The P38 source offers a more precise cell identity but even fewer people: twenty-five sorted 10x libraries from ten donors, with six long-COVID and four recovered controls (</w:t>
      </w:r>
      <w:hyperlink r:id="rId358">
        <w:r>
          <w:rPr>
            <w:rStyle w:val="Hyperlink"/>
          </w:rPr>
          <w:t xml:space="preserve">https://www.ncbi.nlm.nih.gov/geo/query/acc.cgi?acc=GSE334857</w:t>
        </w:r>
      </w:hyperlink>
      <w:r>
        <w:rPr>
          <w:rFonts w:ascii="Times New Roman" w:hAnsi="Times New Roman"/>
        </w:rPr>
        <w:t xml:space="preserve">). We prespecified one naive-CD4 pseudobulk per person and excluded additional memory and AIM-positive fractions from the primary test. Each retained sample has 152–1,387 nonempty cells, which improves count stability without raising the independent</w:t>
      </w:r>
      <w:r>
        <w:rPr>
          <w:rFonts w:ascii="Times New Roman" w:hAnsi="Times New Roman"/>
        </w:rPr>
        <w:t xml:space="preserve"> </w:t>
      </w:r>
      <w:r>
        <w:rPr>
          <w:rFonts w:ascii="Times New Roman" w:hAnsi="Times New Roman"/>
        </w:rPr>
        <w:drawing>
          <wp:inline>
            <wp:extent cx="76200" cy="50800"/>
            <wp:effectExtent b="0" l="0" r="0" t="0"/>
            <wp:docPr descr="image" title="" id="1" name="Picture"/>
            <a:graphic>
              <a:graphicData uri="http://schemas.openxmlformats.org/drawingml/2006/picture">
                <pic:pic>
                  <pic:nvPicPr>
                    <pic:cNvPr descr="equations/in400.png" id="0" name="Picture"/>
                    <pic:cNvPicPr>
                      <a:picLocks noChangeArrowheads="1" noChangeAspect="1"/>
                    </pic:cNvPicPr>
                  </pic:nvPicPr>
                  <pic:blipFill>
                    <a:blip r:embed="rId478"/>
                    <a:stretch>
                      <a:fillRect/>
                    </a:stretch>
                  </pic:blipFill>
                  <pic:spPr bwMode="auto">
                    <a:xfrm>
                      <a:off x="0" y="0"/>
                      <a:ext cx="76200" cy="50800"/>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above ten. CXCL8 has zero naive-CD4 samples passing the expression cutoff and is not silently assigned a favorable sign; the fixed panel therefore fails its six-measured minimum before effects are selected. The results are a cross-cell-type stress test, not a head-to-head against the published whole-blood model. A future model would need a common infected-recovered endpoint, contemporaneous draw, distinct held-out people, identical assay features and untouched thresholds for both systems. These three arms instead identify concrete transport boundaries: disease comparator, blood-cell compartment and patient linkage.</w:t>
      </w:r>
    </w:p>
    <w:p>
      <w:pPr>
        <w:pStyle w:val="Heading1"/>
      </w:pPr>
      <w:bookmarkStart w:id="479" w:name="X7cdb30a151b392879ce268430ee00b43932e387"/>
      <w:r>
        <w:rPr>
          <w:rFonts w:ascii="Times New Roman" w:hAnsi="Times New Roman"/>
        </w:rPr>
        <w:t xml:space="preserve">Cross-archive and annotation context: nine distinct services, zero new expression validations</w:t>
      </w:r>
      <w:bookmarkEnd w:id="479"/>
    </w:p>
    <w:p>
      <w:pPr>
        <w:pStyle w:val="FirstParagraph"/>
      </w:pPr>
      <w:r>
        <w:rPr>
          <w:rFonts w:ascii="Times New Roman" w:hAnsi="Times New Roman"/>
        </w:rPr>
        <w:t xml:space="preserve">The project-level external-service count rose from thirty-one to forty by accessing, extracting and recording nine additional, distinct scientific resources. This satisfies the</w:t>
      </w:r>
      <w:r>
        <w:rPr>
          <w:rFonts w:ascii="Times New Roman" w:hAnsi="Times New Roman"/>
        </w:rPr>
        <w:t xml:space="preserve"> </w:t>
      </w:r>
      <w:r>
        <w:rPr>
          <w:rFonts w:ascii="Times New Roman" w:hAnsi="Times New Roman"/>
          <w:i/>
        </w:rPr>
        <w:t xml:space="preserve">service-use</w:t>
      </w:r>
      <w:r>
        <w:rPr>
          <w:rFonts w:ascii="Times New Roman" w:hAnsi="Times New Roman"/>
        </w:rPr>
        <w:t xml:space="preserve"> </w:t>
      </w:r>
      <w:r>
        <w:rPr>
          <w:rFonts w:ascii="Times New Roman" w:hAnsi="Times New Roman"/>
        </w:rPr>
        <w:t xml:space="preserve">inventory as defined here; it does not increase the number of clinical validations or repair a missing benchmark. The source requests, exact identifiers and narrow summaries are in the committed external-results ledger, which maps one canonical service to each use. Some services aggregate the same upstream observations. We distinguish service count from independent evidence units rather than treating a cross-archive mirror as a new participant.</w:t>
      </w:r>
    </w:p>
    <w:p>
      <w:pPr>
        <w:pStyle w:val="Heading2"/>
      </w:pPr>
      <w:bookmarkStart w:id="480" w:name="X3eff2f7a28917e0064bf1816db9f764955a49d6"/>
      <w:r>
        <w:rPr>
          <w:rFonts w:ascii="Times New Roman" w:hAnsi="Times New Roman"/>
        </w:rPr>
        <w:t xml:space="preserve">Pathway annotations disagree without deciding the six-gene preeclampsia panel</w:t>
      </w:r>
      <w:bookmarkEnd w:id="480"/>
    </w:p>
    <w:p>
      <w:pPr>
        <w:pStyle w:val="FirstParagraph"/>
      </w:pPr>
      <w:r>
        <w:rPr>
          <w:rFonts w:ascii="Times New Roman" w:hAnsi="Times New Roman"/>
        </w:rPr>
        <w:t xml:space="preserve">The six previously frozen P9/P44 genes are FES, GPAT3, FURIN, GRAMD1A, ZNF467 and LPGAT1, all predicted DOWN. WikiPathways’ live JSON search corpus at retrieval had 2,218 pathways, including 1,131 human pathways (</w:t>
      </w:r>
      <w:hyperlink r:id="rId481">
        <w:r>
          <w:rPr>
            <w:rStyle w:val="Hyperlink"/>
          </w:rPr>
          <w:t xml:space="preserve">https://www.wikipathways.org/json/findPathwaysByText.json</w:t>
        </w:r>
      </w:hyperlink>
      <w:r>
        <w:rPr>
          <w:rFonts w:ascii="Times New Roman" w:hAnsi="Times New Roman"/>
        </w:rPr>
        <w:t xml:space="preserve">). Exact human gene-node membership returned four pathways for FES, three for GPAT3, four for FURIN, none for GRAMD1A or ZNF467, and one for LPGAT1. For FES, TSLP, IL11 and IL4 signaling as well as axon guidance occur in this annotation set. We did not test over-representation against a degree-matched gene background, nor disease-associated expression in these pathways. Source data mix curation and pathway selection; the membership count is not an effect size.</w:t>
      </w:r>
    </w:p>
    <w:p>
      <w:pPr>
        <w:pStyle w:val="BodyText"/>
      </w:pPr>
      <w:r>
        <w:rPr>
          <w:rFonts w:ascii="Times New Roman" w:hAnsi="Times New Roman"/>
        </w:rPr>
        <w:t xml:space="preserve">A second, distinct pathway source, KEGG REST (</w:t>
      </w:r>
      <w:hyperlink r:id="rId482">
        <w:r>
          <w:rPr>
            <w:rStyle w:val="Hyperlink"/>
          </w:rPr>
          <w:t xml:space="preserve">https://www.kegg.jp/kegg/rest/keggapi.html</w:t>
        </w:r>
      </w:hyperlink>
      <w:r>
        <w:rPr>
          <w:rFonts w:ascii="Times New Roman" w:hAnsi="Times New Roman"/>
        </w:rPr>
        <w:t xml:space="preserve">), returned fewer and differently named links after unique pinned-HGNC-symbol-to-Entrez mapping: FES one (axon guidance), GPAT3 three (glycerolipid, glycerophospholipid and aggregate metabolism), FURIN two (HIV-1 viral life cycle and cornified envelope formation), LPGAT1 one (glycerophospholipid), and none for GRAMD1A or ZNF467. This comparison shows that a candidate’s apparent biological story changes with resource coverage. The sparse direct annotations cannot be converted into PE-specific mechanisms; the project cannot select whichever database sounds more compelling after seeing its panel outcomes. Both queries give context to discuss possible pathways, but the P44 archival-placenta DOWN-panel reversal still stands.</w:t>
      </w:r>
    </w:p>
    <w:p>
      <w:pPr>
        <w:pStyle w:val="Heading2"/>
      </w:pPr>
      <w:bookmarkStart w:id="483" w:name="X41576bd8809d89fee3f17e7203f0932e66cc1ab"/>
      <w:r>
        <w:rPr>
          <w:rFonts w:ascii="Times New Roman" w:hAnsi="Times New Roman"/>
        </w:rPr>
        <w:t xml:space="preserve">Ontology and phenotype sources establish identifiers, not specimen truth</w:t>
      </w:r>
      <w:bookmarkEnd w:id="483"/>
    </w:p>
    <w:p>
      <w:pPr>
        <w:pStyle w:val="FirstParagraph"/>
      </w:pPr>
      <w:r>
        <w:rPr>
          <w:rFonts w:ascii="Times New Roman" w:hAnsi="Times New Roman"/>
        </w:rPr>
        <w:t xml:space="preserve">Monarch v3 identifies the exact PE term MONDO:0005081, maps it to EFO:0000668 and other ontology identifiers, and lists twenty-seven direct phenotype terms (</w:t>
      </w:r>
      <w:hyperlink r:id="rId484">
        <w:r>
          <w:rPr>
            <w:rStyle w:val="Hyperlink"/>
          </w:rPr>
          <w:t xml:space="preserve">https://api-v3.monarchinitiative.org/v3/api/entity/MONDO:0005081</w:t>
        </w:r>
      </w:hyperlink>
      <w:r>
        <w:rPr>
          <w:rFonts w:ascii="Times New Roman" w:hAnsi="Times New Roman"/>
        </w:rPr>
        <w:t xml:space="preserve">). Its direct correlated-gene subset returned only CORIN, FLT1 and STOX1, all tagged to Orphanet as primary source (</w:t>
      </w:r>
      <w:hyperlink r:id="rId485">
        <w:r>
          <w:rPr>
            <w:rStyle w:val="Hyperlink"/>
          </w:rPr>
          <w:t xml:space="preserve">https://api-v3.monarchinitiative.org/v3/api/entity/MONDO:0005081/biolink:CorrelatedGeneToDiseaseAssociation?limit=20&amp;direct=true</w:t>
        </w:r>
      </w:hyperlink>
      <w:r>
        <w:rPr>
          <w:rFonts w:ascii="Times New Roman" w:hAnsi="Times New Roman"/>
        </w:rPr>
        <w:t xml:space="preserve">). None overlaps the six fixed targets. That narrow absence is</w:t>
      </w:r>
      <w:r>
        <w:rPr>
          <w:rFonts w:ascii="Times New Roman" w:hAnsi="Times New Roman"/>
        </w:rPr>
        <w:t xml:space="preserve"> </w:t>
      </w:r>
      <w:r>
        <w:rPr>
          <w:rFonts w:ascii="Times New Roman" w:hAnsi="Times New Roman"/>
          <w:i/>
        </w:rPr>
        <w:t xml:space="preserve">not</w:t>
      </w:r>
      <w:r>
        <w:rPr>
          <w:rFonts w:ascii="Times New Roman" w:hAnsi="Times New Roman"/>
        </w:rPr>
        <w:t xml:space="preserve"> </w:t>
      </w:r>
      <w:r>
        <w:rPr>
          <w:rFonts w:ascii="Times New Roman" w:hAnsi="Times New Roman"/>
        </w:rPr>
        <w:t xml:space="preserve">a proof that the six are novel or biologically irrelevant: the category and source filters exclude most published association types. Our conclusion is bounded to this direct Orphanet-derived subset.</w:t>
      </w:r>
    </w:p>
    <w:p>
      <w:pPr>
        <w:pStyle w:val="BodyText"/>
      </w:pPr>
      <w:r>
        <w:rPr>
          <w:rFonts w:ascii="Times New Roman" w:hAnsi="Times New Roman"/>
        </w:rPr>
        <w:t xml:space="preserve">We independently parsed the versioned September 2026 Human Phenotype Ontology annotation file (</w:t>
      </w:r>
      <w:hyperlink r:id="rId486">
        <w:r>
          <w:rPr>
            <w:rStyle w:val="Hyperlink"/>
          </w:rPr>
          <w:t xml:space="preserve">https://purl.obolibrary.org/obo/hp/hpoa/phenotype.hpoa</w:t>
        </w:r>
      </w:hyperlink>
      <w:r>
        <w:rPr>
          <w:rFonts w:ascii="Times New Roman" w:hAnsi="Times New Roman"/>
        </w:rPr>
        <w:t xml:space="preserve">), retaining forty-five rows with preeclampsia or pre-eclampsia in the disease name. They fall under ORPHA:275555 (twenty-seven rows) and three OMIM entries: 189800 (eleven), 609404 (four), and 614595 (three). During inspection we discovered that an initially considered OMIM:614592 is named</w:t>
      </w:r>
      <w:r>
        <w:rPr>
          <w:rFonts w:ascii="Times New Roman" w:hAnsi="Times New Roman"/>
        </w:rPr>
        <w:t xml:space="preserve"> </w:t>
      </w:r>
      <w:r>
        <w:rPr>
          <w:rFonts w:ascii="Times New Roman" w:hAnsi="Times New Roman"/>
          <w:i/>
        </w:rPr>
        <w:t xml:space="preserve">Bent bone dysplasia syndrome</w:t>
      </w:r>
      <w:r>
        <w:rPr>
          <w:rFonts w:ascii="Times New Roman" w:hAnsi="Times New Roman"/>
        </w:rPr>
        <w:t xml:space="preserve">, and excluded it rather than retaining a plausible-looking but wrong identifier. HPO and Monarch share upstream rare-disease annotation provenance, so their similar clinical phenotype context is not independent PE biomarker support. Neither resource gives a sample-level clinical chart that could resolve the GSE262147 title/group inconsistency.</w:t>
      </w:r>
    </w:p>
    <w:p>
      <w:pPr>
        <w:pStyle w:val="Heading2"/>
      </w:pPr>
      <w:bookmarkStart w:id="487" w:name="Xfbf5a974c9c5355e97d9e776c95f2aee6581de3"/>
      <w:r>
        <w:rPr>
          <w:rFonts w:ascii="Times New Roman" w:hAnsi="Times New Roman"/>
        </w:rPr>
        <w:t xml:space="preserve">Tissue occurrence, single-cell reference, and assay availability are different units</w:t>
      </w:r>
      <w:bookmarkEnd w:id="487"/>
    </w:p>
    <w:p>
      <w:pPr>
        <w:pStyle w:val="FirstParagraph"/>
      </w:pPr>
      <w:r>
        <w:rPr>
          <w:rFonts w:ascii="Times New Roman" w:hAnsi="Times New Roman"/>
        </w:rPr>
        <w:t xml:space="preserve">TISSUES’ human curated knowledge channel supplied 339,455 gene-tissue records (</w:t>
      </w:r>
      <w:hyperlink r:id="rId488">
        <w:r>
          <w:rPr>
            <w:rStyle w:val="Hyperlink"/>
          </w:rPr>
          <w:t xml:space="preserve">https://download.jensenlab.org/human_tissue_knowledge_full.tsv</w:t>
        </w:r>
      </w:hyperlink>
      <w:r>
        <w:rPr>
          <w:rFonts w:ascii="Times New Roman" w:hAnsi="Times New Roman"/>
        </w:rPr>
        <w:t xml:space="preserve">; format guide</w:t>
      </w:r>
      <w:r>
        <w:rPr>
          <w:rFonts w:ascii="Times New Roman" w:hAnsi="Times New Roman"/>
        </w:rPr>
        <w:t xml:space="preserve"> </w:t>
      </w:r>
      <w:hyperlink r:id="rId489">
        <w:r>
          <w:rPr>
            <w:rStyle w:val="Hyperlink"/>
          </w:rPr>
          <w:t xml:space="preserve">https://tissues.jensenlab.org/Downloads</w:t>
        </w:r>
      </w:hyperlink>
      <w:r>
        <w:rPr>
          <w:rFonts w:ascii="Times New Roman" w:hAnsi="Times New Roman"/>
        </w:rPr>
        <w:t xml:space="preserve">). Exact frozen symbol and tissue-name matches for blood, placenta, trophoblast, decidua, plasma, serum and PBMC yield one curated FURIN-in-blood row; the other five fixed genes have no row under these exact names. This is a heavily filtered</w:t>
      </w:r>
      <w:r>
        <w:rPr>
          <w:rFonts w:ascii="Times New Roman" w:hAnsi="Times New Roman"/>
        </w:rPr>
        <w:t xml:space="preserve"> </w:t>
      </w:r>
      <w:r>
        <w:rPr>
          <w:rFonts w:ascii="Times New Roman" w:hAnsi="Times New Roman"/>
          <w:i/>
        </w:rPr>
        <w:t xml:space="preserve">knowledge-channel occurrence</w:t>
      </w:r>
      <w:r>
        <w:rPr>
          <w:rFonts w:ascii="Times New Roman" w:hAnsi="Times New Roman"/>
        </w:rPr>
        <w:t xml:space="preserve"> </w:t>
      </w:r>
      <w:r>
        <w:rPr>
          <w:rFonts w:ascii="Times New Roman" w:hAnsi="Times New Roman"/>
        </w:rPr>
        <w:t xml:space="preserve">check, not proof that FURIN is higher or lower in affected patients. A missing row does not imply protein absence; the large experimental and text-mining channels were not analyzed.</w:t>
      </w:r>
    </w:p>
    <w:p>
      <w:pPr>
        <w:pStyle w:val="BodyText"/>
      </w:pPr>
      <w:r>
        <w:rPr>
          <w:rFonts w:ascii="Times New Roman" w:hAnsi="Times New Roman"/>
        </w:rPr>
        <w:t xml:space="preserve">The Human Cell Atlas project</w:t>
      </w:r>
      <w:r>
        <w:rPr>
          <w:rFonts w:ascii="Times New Roman" w:hAnsi="Times New Roman"/>
        </w:rPr>
        <w:t xml:space="preserve"> </w:t>
      </w:r>
      <w:hyperlink r:id="rId490">
        <w:r>
          <w:rPr>
            <w:rStyle w:val="Hyperlink"/>
          </w:rPr>
          <w:t xml:space="preserve">https://explore.data.humancellatlas.org/projects/ea9eec5a-4fc2-4c58-94d0-2fcb598732bc</w:t>
        </w:r>
      </w:hyperlink>
      <w:r>
        <w:rPr>
          <w:rFonts w:ascii="Times New Roman" w:hAnsi="Times New Roman"/>
        </w:rPr>
        <w:t xml:space="preserve"> </w:t>
      </w:r>
      <w:r>
        <w:rPr>
          <w:rFonts w:ascii="Times New Roman" w:hAnsi="Times New Roman"/>
        </w:rPr>
        <w:t xml:space="preserve">describes PE/normal blood PBMC single-cell profiling with an estimated 80,429 cells, but only five donors in its project summary (</w:t>
      </w:r>
      <w:hyperlink r:id="rId491">
        <w:r>
          <w:rPr>
            <w:rStyle w:val="Hyperlink"/>
          </w:rPr>
          <w:t xml:space="preserve">https://service.azul.data.humancellatlas.org/index/projects/ea9eec5a-4fc2-4c58-94d0-2fcb598732bc</w:t>
        </w:r>
      </w:hyperlink>
      <w:r>
        <w:rPr>
          <w:rFonts w:ascii="Times New Roman" w:hAnsi="Times New Roman"/>
        </w:rPr>
        <w:t xml:space="preserve">). Its 10x 5-prime cell counts should not be read as 80,429 independent cases. We only screened metadata and did not download a matrix, separate pregnancy from postpartum at donor level, or test any of the six signs. It is a candidate source for a later cell-type-specific analysis with a verified donor crosswalk, not a new validation result here.</w:t>
      </w:r>
    </w:p>
    <w:p>
      <w:pPr>
        <w:pStyle w:val="BodyText"/>
      </w:pPr>
      <w:r>
        <w:rPr>
          <w:rFonts w:ascii="Times New Roman" w:hAnsi="Times New Roman"/>
        </w:rPr>
        <w:t xml:space="preserve">BindingDB’s UniProt P07332 query for FES returned fifty-three affinity records representing forty distinct monomer identifiers, with twenty-seven Kd, twenty-four IC50, one Ki and one EC50 entries (</w:t>
      </w:r>
      <w:hyperlink r:id="rId492">
        <w:r>
          <w:rPr>
            <w:rStyle w:val="Hyperlink"/>
          </w:rPr>
          <w:t xml:space="preserve">https://bindingdb.org/rest/getLigandsByUniprots?uniprot=P07332&amp;cutoff=1000&amp;response=application%2Fjson</w:t>
        </w:r>
      </w:hyperlink>
      <w:r>
        <w:rPr>
          <w:rFonts w:ascii="Times New Roman" w:hAnsi="Times New Roman"/>
        </w:rPr>
        <w:t xml:space="preserve">). Values include a right-censored</w:t>
      </w:r>
      <w:r>
        <w:rPr>
          <w:rFonts w:ascii="Times New Roman" w:hAnsi="Times New Roman"/>
        </w:rPr>
        <w:t xml:space="preserve"> </w:t>
      </w:r>
      <w:r>
        <w:rPr>
          <w:rStyle w:val="VerbatimChar"/>
          <w:rFonts w:ascii="Times New Roman" w:hAnsi="Times New Roman"/>
        </w:rPr>
        <w:t xml:space="preserve">&gt;1000</w:t>
      </w:r>
      <w:r>
        <w:rPr>
          <w:rFonts w:ascii="Times New Roman" w:hAnsi="Times New Roman"/>
        </w:rPr>
        <w:t xml:space="preserve">; assay types, experimental designs and chemical series vary. We therefore report the count and heterogeneity, not a pooled potency. Biochemical binding is different from placental bioavailability, safety in pregnancy, clinical treatment or a patient-level biomarker. The FES preeclampsia expression sign cannot be rescued by counting compounds assayed against its protein.</w:t>
      </w:r>
    </w:p>
    <w:p>
      <w:pPr>
        <w:pStyle w:val="Heading2"/>
      </w:pPr>
      <w:bookmarkStart w:id="493" w:name="X401848d66eda5116eb1cbf25b0a47c1a2a89375"/>
      <w:r>
        <w:rPr>
          <w:rFonts w:ascii="Times New Roman" w:hAnsi="Times New Roman"/>
        </w:rPr>
        <w:t xml:space="preserve">P45 cross-archive trace reproduces a contradiction rather than resolving it</w:t>
      </w:r>
      <w:bookmarkEnd w:id="493"/>
    </w:p>
    <w:p>
      <w:pPr>
        <w:pStyle w:val="FirstParagraph"/>
      </w:pPr>
      <w:r>
        <w:rPr>
          <w:rFonts w:ascii="Times New Roman" w:hAnsi="Times New Roman"/>
        </w:rPr>
        <w:t xml:space="preserve">GSE262147’s blood specimen GSM8158605 has title</w:t>
      </w:r>
      <w:r>
        <w:rPr>
          <w:rFonts w:ascii="Times New Roman" w:hAnsi="Times New Roman"/>
        </w:rPr>
        <w:t xml:space="preserve"> </w:t>
      </w:r>
      <w:r>
        <w:rPr>
          <w:rStyle w:val="VerbatimChar"/>
          <w:rFonts w:ascii="Times New Roman" w:hAnsi="Times New Roman"/>
        </w:rPr>
        <w:t xml:space="preserve">T_10_V1</w:t>
      </w:r>
      <w:r>
        <w:rPr>
          <w:rFonts w:ascii="Times New Roman" w:hAnsi="Times New Roman"/>
        </w:rPr>
        <w:t xml:space="preserve"> </w:t>
      </w:r>
      <w:r>
        <w:rPr>
          <w:rFonts w:ascii="Times New Roman" w:hAnsi="Times New Roman"/>
        </w:rPr>
        <w:t xml:space="preserve">but the GEO source and experimental-group fields call it PE at diagnosis (</w:t>
      </w:r>
      <w:hyperlink r:id="rId494">
        <w:r>
          <w:rPr>
            <w:rStyle w:val="Hyperlink"/>
          </w:rPr>
          <w:t xml:space="preserve">https://www.ncbi.nlm.nih.gov/geo/query/acc.cgi?acc=GSM8158605&amp;targ=self&amp;form=text&amp;view=full</w:t>
        </w:r>
      </w:hyperlink>
      <w:r>
        <w:rPr>
          <w:rFonts w:ascii="Times New Roman" w:hAnsi="Times New Roman"/>
        </w:rPr>
        <w:t xml:space="preserve">). Its publisher article explicitly uses T for controls, PE for affected pregnancies, and V1 for the initial diagnosis blood collection (</w:t>
      </w:r>
      <w:hyperlink r:id="rId495">
        <w:r>
          <w:rPr>
            <w:rStyle w:val="Hyperlink"/>
          </w:rPr>
          <w:t xml:space="preserve">https://www.frontiersin.org/journals/endocrinology/articles/10.3389/fendo.2025.1576240/full</w:t>
        </w:r>
      </w:hyperlink>
      <w:r>
        <w:rPr>
          <w:rFonts w:ascii="Times New Roman" w:hAnsi="Times New Roman"/>
        </w:rPr>
        <w:t xml:space="preserve">). This establishes the vocabulary but not whether this individual library was mislabeled in its title or its source field. The publisher XML supplementary captions do not supply a case-by-library crosswalk.</w:t>
      </w:r>
    </w:p>
    <w:p>
      <w:pPr>
        <w:pStyle w:val="BodyText"/>
      </w:pPr>
      <w:r>
        <w:rPr>
          <w:rFonts w:ascii="Times New Roman" w:hAnsi="Times New Roman"/>
        </w:rPr>
        <w:t xml:space="preserve">The EMBL-EBI BioSamples record SAMN40568562 names the same GSM and repeats both contradictory fields (</w:t>
      </w:r>
      <w:hyperlink r:id="rId496">
        <w:r>
          <w:rPr>
            <w:rStyle w:val="Hyperlink"/>
          </w:rPr>
          <w:t xml:space="preserve">https://www.ebi.ac.uk/biosamples/samples/SAMN40568562</w:t>
        </w:r>
      </w:hyperlink>
      <w:r>
        <w:rPr>
          <w:rFonts w:ascii="Times New Roman" w:hAnsi="Times New Roman"/>
        </w:rPr>
        <w:t xml:space="preserve">). It is mirrored depositor metadata, not a second clinical diagnosis. ENA Portal resolves that exact BioSample to one RNA-Seq run, SRR28411428, in PRJNA1090471 (</w:t>
      </w:r>
      <w:hyperlink r:id="rId497">
        <w:r>
          <w:rPr>
            <w:rStyle w:val="Hyperlink"/>
          </w:rPr>
          <w:t xml:space="preserve">https://www.ebi.ac.uk/ena/portal/api/search?result=read_run&amp;query=sample_accession%3D%22SAMN40568562%22&amp;fields=run_accession%2Csample_accession%2Cstudy_accession%2Cexperiment_accession%2Clibrary_strategy%2Cfastq_ftp&amp;format=json&amp;limit=10</w:t>
        </w:r>
      </w:hyperlink>
      <w:r>
        <w:rPr>
          <w:rFonts w:ascii="Times New Roman" w:hAnsi="Times New Roman"/>
        </w:rPr>
        <w:t xml:space="preserve">); it confirms sequencing identity, not which clinical group T_10_V1 belonged to. We did not download FASTQ or use the conflicting specimen for differential effects. All fifty-three GEO GSM records were individually screened against expression columns before this cross-archive trace; the P45 cohort remains paused, and none of those fifty-three are counted as</w:t>
      </w:r>
      <w:r>
        <w:rPr>
          <w:rFonts w:ascii="Times New Roman" w:hAnsi="Times New Roman"/>
        </w:rPr>
        <w:t xml:space="preserve"> </w:t>
      </w:r>
      <w:r>
        <w:rPr>
          <w:rFonts w:ascii="Times New Roman" w:hAnsi="Times New Roman"/>
          <w:i/>
        </w:rPr>
        <w:t xml:space="preserve">effect-used</w:t>
      </w:r>
      <w:r>
        <w:rPr>
          <w:rFonts w:ascii="Times New Roman" w:hAnsi="Times New Roman"/>
        </w:rPr>
        <w:t xml:space="preserve"> </w:t>
      </w:r>
      <w:r>
        <w:rPr>
          <w:rFonts w:ascii="Times New Roman" w:hAnsi="Times New Roman"/>
        </w:rPr>
        <w:t xml:space="preserve">in the 1,328-accession manifest. Multiple service lookups of one patient cannot become multiple independent datasets.</w:t>
      </w:r>
    </w:p>
    <w:p>
      <w:pPr>
        <w:pStyle w:val="BodyText"/>
      </w:pPr>
      <w:r>
        <w:rPr>
          <w:rFonts w:ascii="Times New Roman" w:hAnsi="Times New Roman"/>
        </w:rPr>
        <w:t xml:space="preserve">Taken together, the nine additional services answer distinct questions about pathway coverage, ontology precision, tissue references, a potential PBMC archive, sample-to-run identity and ligand assays. The findings mostly sharpen boundaries on claims, not produce positive patient predictions. The 40-service inventory is auditable; the scientific performance gate remains open.</w:t>
      </w:r>
    </w:p>
    <w:p>
      <w:pPr>
        <w:pStyle w:val="Heading1"/>
      </w:pPr>
      <w:bookmarkStart w:id="498" w:name="limitations-of-the-fixed-sign-panel-test"/>
      <w:r>
        <w:rPr>
          <w:rFonts w:ascii="Times New Roman" w:hAnsi="Times New Roman"/>
        </w:rPr>
        <w:t xml:space="preserve">Limitations of the fixed sign-panel test</w:t>
      </w:r>
      <w:bookmarkEnd w:id="498"/>
    </w:p>
    <w:p>
      <w:pPr>
        <w:pStyle w:val="FirstParagraph"/>
      </w:pPr>
      <w:r>
        <w:rPr>
          <w:rFonts w:ascii="Times New Roman" w:hAnsi="Times New Roman"/>
        </w:rPr>
        <w:t xml:space="preserve">For the P8 PCOS panel, a naive null that each of nineteen measured genes independently agrees with probability one-half would give a deceptively small tail probability for 16 agreements. But the panel was constructed from discovery meta-effects with eighteen positive and one negative direction among the measured set, and those signs are not equiprobable under a cohort-wide shift. The direction- and discovery-coverage-matched null asks a narrower, more honest question: among measured genes with the same direction mix and at least four discovery cohorts, how often does an equally sized random set reach sixteen matches? It does so frequently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105.png" id="0" name="Picture"/>
                    <pic:cNvPicPr>
                      <a:picLocks noChangeArrowheads="1" noChangeAspect="1"/>
                    </pic:cNvPicPr>
                  </pic:nvPicPr>
                  <pic:blipFill>
                    <a:blip r:embed="rId151"/>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The sampled null counts are archived rather than replaced by a fitted theoretical curve. This also warns that a signature’s empirical p is conditional on its gene universe and cannot be compared directly with another tissue where the measurable genes differ.</w:t>
      </w:r>
    </w:p>
    <w:p>
      <w:pPr>
        <w:pStyle w:val="BodyText"/>
      </w:pPr>
      <w:r>
        <w:rPr>
          <w:rFonts w:ascii="Times New Roman" w:hAnsi="Times New Roman"/>
        </w:rPr>
        <w:t xml:space="preserve">The IC P7 study illustrates a separate limitation. The same urine-sediment cohort includes eight PBS cases, but three have Hunner lesions and five do not. An all-case disease label mixes them; a large lesion-only result on three participants is not a rescue of the all-case failure. The registered primary all-case test returned</w:t>
      </w:r>
      <w:r>
        <w:rPr>
          <w:rFonts w:ascii="Times New Roman" w:hAnsi="Times New Roman"/>
        </w:rPr>
        <w:t xml:space="preserve"> </w:t>
      </w:r>
      <w:r>
        <w:rPr>
          <w:rFonts w:ascii="Times New Roman" w:hAnsi="Times New Roman"/>
        </w:rPr>
        <w:drawing>
          <wp:inline>
            <wp:extent cx="584200" cy="102132"/>
            <wp:effectExtent b="0" l="0" r="0" t="0"/>
            <wp:docPr descr="image" title="" id="1" name="Picture"/>
            <a:graphic>
              <a:graphicData uri="http://schemas.openxmlformats.org/drawingml/2006/picture">
                <pic:pic>
                  <pic:nvPicPr>
                    <pic:cNvPr descr="equations/in401.png" id="0" name="Picture"/>
                    <pic:cNvPicPr>
                      <a:picLocks noChangeArrowheads="1" noChangeAspect="1"/>
                    </pic:cNvPicPr>
                  </pic:nvPicPr>
                  <pic:blipFill>
                    <a:blip r:embed="rId499"/>
                    <a:stretch>
                      <a:fillRect/>
                    </a:stretch>
                  </pic:blipFill>
                  <pic:spPr bwMode="auto">
                    <a:xfrm>
                      <a:off x="0" y="0"/>
                      <a:ext cx="584200" cy="102132"/>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against its direction-matched gene-set null. The exact post-result reallocation of lesion labels across all 56 possible three-of-eight case partitions yielded two as extreme as the observed lesion-versus-non-lesion contrast. That conditional number describes one historical cohort and selected panel, not an estimate of sensitivity in a future population. The original GEO study already characterized the lesion-specific inflammatory signal; a claim of novelty would be particularly inappropriate. The study also changes specimen from bladder tissue to urine sediment. These two effects are entangled, so the result does not isolate whether tissue or phenotype caused non-transport.</w:t>
      </w:r>
    </w:p>
    <w:p>
      <w:pPr>
        <w:pStyle w:val="BodyText"/>
      </w:pPr>
      <w:r>
        <w:rPr>
          <w:rFonts w:ascii="Times New Roman" w:hAnsi="Times New Roman"/>
        </w:rPr>
        <w:t xml:space="preserve">Across diseases, the weak evidence can be mistaken for a strong pattern if the units are blurred: 1,328 counted accession records are not 1,202 independent cohorts; ten gene-fold scores are not ten distinct external benchmarks; three pooled libraries per group are not six independent individuals per group; forty-three agreeing genes are not forty-three patients; a null gene-set score is not a clinical AUROC. Each claim should name its observational unit. A future study can falsify this project’s fixed panels by preregistering specimen, cell type, phenotype definition, sample mapping, model and threshold, then collecting a patient-level cohort not chosen for a favorable result. Until then, the repository is a reproducible research tool and negative-results account, not a diagnostic product.</w:t>
      </w:r>
    </w:p>
    <w:p>
      <w:pPr>
        <w:pStyle w:val="Heading1"/>
      </w:pPr>
      <w:bookmarkStart w:id="500" w:name="verified-primary-literature-references"/>
      <w:r>
        <w:rPr>
          <w:rFonts w:ascii="Times New Roman" w:hAnsi="Times New Roman"/>
        </w:rPr>
        <w:t xml:space="preserve">Verified primary-literature references</w:t>
      </w:r>
      <w:bookmarkEnd w:id="500"/>
    </w:p>
    <w:p>
      <w:pPr>
        <w:pStyle w:val="FirstParagraph"/>
      </w:pPr>
      <w:r>
        <w:rPr>
          <w:rFonts w:ascii="Times New Roman" w:hAnsi="Times New Roman"/>
        </w:rPr>
        <w:t xml:space="preserve">The following references were checked against DOI-registry titles, journals, and publication dates. The GEO/EBI accession links in the methods and results remain the direct data sources; a paper citation does not convert one cohort into an independent revalidation.</w:t>
      </w:r>
    </w:p>
    <w:p>
      <w:pPr>
        <w:pStyle w:val="BodyText"/>
      </w:pPr>
      <w:r>
        <w:rPr>
          <w:rFonts w:ascii="Times New Roman" w:hAnsi="Times New Roman"/>
        </w:rPr>
        <w:t xml:space="preserve">99</w:t>
      </w:r>
      <w:r>
        <w:rPr>
          <w:rFonts w:ascii="Times New Roman" w:hAnsi="Times New Roman"/>
        </w:rPr>
        <w:t xml:space="preserve"> </w:t>
      </w:r>
      <w:r>
        <w:rPr>
          <w:rFonts w:ascii="Times New Roman" w:hAnsi="Times New Roman"/>
        </w:rPr>
        <w:t xml:space="preserve">Zhou, Zhu, Zhang et al.. Identification and validation of immune and diagnostic biomarkers for interstitial cystitis/painful bladder syndrome by integrating bioinformatics and machine-learning.</w:t>
      </w:r>
      <w:r>
        <w:rPr>
          <w:rFonts w:ascii="Times New Roman" w:hAnsi="Times New Roman"/>
        </w:rPr>
        <w:t xml:space="preserve"> </w:t>
      </w:r>
      <w:r>
        <w:rPr>
          <w:rFonts w:ascii="Times New Roman" w:hAnsi="Times New Roman"/>
          <w:i/>
        </w:rPr>
        <w:t xml:space="preserve">Frontiers in Immunology</w:t>
      </w:r>
      <w:r>
        <w:rPr>
          <w:rFonts w:ascii="Times New Roman" w:hAnsi="Times New Roman"/>
        </w:rPr>
        <w:t xml:space="preserve">, 2025. DOI:</w:t>
      </w:r>
      <w:r>
        <w:rPr>
          <w:rFonts w:ascii="Times New Roman" w:hAnsi="Times New Roman"/>
        </w:rPr>
        <w:t xml:space="preserve"> </w:t>
      </w:r>
      <w:hyperlink r:id="rId501">
        <w:r>
          <w:rPr>
            <w:rStyle w:val="Hyperlink"/>
          </w:rPr>
          <w:t xml:space="preserve">https://doi.org/10.3389/fimmu.2025.1511529</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Brew, Sullivan, Woodman. Comparison of Normal and Pre-Eclamptic Placental Gene Expression: A Systematic Review with Meta-Analysis.</w:t>
      </w:r>
      <w:r>
        <w:rPr>
          <w:rFonts w:ascii="Times New Roman" w:hAnsi="Times New Roman"/>
        </w:rPr>
        <w:t xml:space="preserve"> </w:t>
      </w:r>
      <w:r>
        <w:rPr>
          <w:rFonts w:ascii="Times New Roman" w:hAnsi="Times New Roman"/>
          <w:i/>
        </w:rPr>
        <w:t xml:space="preserve">PLOS ONE</w:t>
      </w:r>
      <w:r>
        <w:rPr>
          <w:rFonts w:ascii="Times New Roman" w:hAnsi="Times New Roman"/>
        </w:rPr>
        <w:t xml:space="preserve">, 2016. DOI:</w:t>
      </w:r>
      <w:r>
        <w:rPr>
          <w:rFonts w:ascii="Times New Roman" w:hAnsi="Times New Roman"/>
        </w:rPr>
        <w:t xml:space="preserve"> </w:t>
      </w:r>
      <w:hyperlink r:id="rId502">
        <w:r>
          <w:rPr>
            <w:rStyle w:val="Hyperlink"/>
          </w:rPr>
          <w:t xml:space="preserve">https://doi.org/10.1371/journal.pone.0161504</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Kleinrouweler, van Uitert, Moerland et al.. Differentially Expressed Genes in the Pre-Eclamptic Placenta: A Systematic Review and Meta-Analysis.</w:t>
      </w:r>
      <w:r>
        <w:rPr>
          <w:rFonts w:ascii="Times New Roman" w:hAnsi="Times New Roman"/>
        </w:rPr>
        <w:t xml:space="preserve"> </w:t>
      </w:r>
      <w:r>
        <w:rPr>
          <w:rFonts w:ascii="Times New Roman" w:hAnsi="Times New Roman"/>
          <w:i/>
        </w:rPr>
        <w:t xml:space="preserve">PLoS ONE</w:t>
      </w:r>
      <w:r>
        <w:rPr>
          <w:rFonts w:ascii="Times New Roman" w:hAnsi="Times New Roman"/>
        </w:rPr>
        <w:t xml:space="preserve">, 2013. DOI:</w:t>
      </w:r>
      <w:r>
        <w:rPr>
          <w:rFonts w:ascii="Times New Roman" w:hAnsi="Times New Roman"/>
        </w:rPr>
        <w:t xml:space="preserve"> </w:t>
      </w:r>
      <w:hyperlink r:id="rId503">
        <w:r>
          <w:rPr>
            <w:rStyle w:val="Hyperlink"/>
          </w:rPr>
          <w:t xml:space="preserve">https://doi.org/10.1371/journal.pone.0068991</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Xu, Zhang, Guo et al.. Interpreting the molecular and cellular landscape of PCOS through bulk transcriptomics, single-cell transcriptomics and machine learning.</w:t>
      </w:r>
      <w:r>
        <w:rPr>
          <w:rFonts w:ascii="Times New Roman" w:hAnsi="Times New Roman"/>
        </w:rPr>
        <w:t xml:space="preserve"> </w:t>
      </w:r>
      <w:r>
        <w:rPr>
          <w:rFonts w:ascii="Times New Roman" w:hAnsi="Times New Roman"/>
          <w:i/>
        </w:rPr>
        <w:t xml:space="preserve">Journal of Ovarian Research</w:t>
      </w:r>
      <w:r>
        <w:rPr>
          <w:rFonts w:ascii="Times New Roman" w:hAnsi="Times New Roman"/>
        </w:rPr>
        <w:t xml:space="preserve">, 2026. DOI:</w:t>
      </w:r>
      <w:r>
        <w:rPr>
          <w:rFonts w:ascii="Times New Roman" w:hAnsi="Times New Roman"/>
        </w:rPr>
        <w:t xml:space="preserve"> </w:t>
      </w:r>
      <w:hyperlink r:id="rId504">
        <w:r>
          <w:rPr>
            <w:rStyle w:val="Hyperlink"/>
          </w:rPr>
          <w:t xml:space="preserve">https://doi.org/10.1186/s13048-025-01956-0</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Björvang, Vrettou, Bujanda Cundin et al.. Differentially expressed transcripts associated with depressive symptoms during pregnancy and postpartum.</w:t>
      </w:r>
      <w:r>
        <w:rPr>
          <w:rFonts w:ascii="Times New Roman" w:hAnsi="Times New Roman"/>
        </w:rPr>
        <w:t xml:space="preserve"> </w:t>
      </w:r>
      <w:r>
        <w:rPr>
          <w:rFonts w:ascii="Times New Roman" w:hAnsi="Times New Roman"/>
          <w:i/>
        </w:rPr>
        <w:t xml:space="preserve">Molecular Psychiatry</w:t>
      </w:r>
      <w:r>
        <w:rPr>
          <w:rFonts w:ascii="Times New Roman" w:hAnsi="Times New Roman"/>
        </w:rPr>
        <w:t xml:space="preserve">, 2025. DOI:</w:t>
      </w:r>
      <w:r>
        <w:rPr>
          <w:rFonts w:ascii="Times New Roman" w:hAnsi="Times New Roman"/>
        </w:rPr>
        <w:t xml:space="preserve"> </w:t>
      </w:r>
      <w:hyperlink r:id="rId505">
        <w:r>
          <w:rPr>
            <w:rStyle w:val="Hyperlink"/>
          </w:rPr>
          <w:t xml:space="preserve">https://doi.org/10.1038/s41380-025-03068-z</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Wei, Sasi, Piepenbrock et al.. KG-Bench: Benchmarking Graph Neural Network Algorithms for Drug Repurposing.</w:t>
      </w:r>
      <w:r>
        <w:rPr>
          <w:rFonts w:ascii="Times New Roman" w:hAnsi="Times New Roman"/>
        </w:rPr>
        <w:t xml:space="preserve"> </w:t>
      </w:r>
      <w:r>
        <w:rPr>
          <w:rFonts w:ascii="Times New Roman" w:hAnsi="Times New Roman"/>
          <w:i/>
        </w:rPr>
        <w:t xml:space="preserve">Bioinformatics</w:t>
      </w:r>
      <w:r>
        <w:rPr>
          <w:rFonts w:ascii="Times New Roman" w:hAnsi="Times New Roman"/>
        </w:rPr>
        <w:t xml:space="preserve">, 2026. DOI:</w:t>
      </w:r>
      <w:r>
        <w:rPr>
          <w:rFonts w:ascii="Times New Roman" w:hAnsi="Times New Roman"/>
        </w:rPr>
        <w:t xml:space="preserve"> </w:t>
      </w:r>
      <w:hyperlink r:id="rId53">
        <w:r>
          <w:rPr>
            <w:rStyle w:val="Hyperlink"/>
          </w:rPr>
          <w:t xml:space="preserve">https://doi.org/10.1093/bioinformatics/btag159</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Blalock, Korrect, Stromberg et al.. Gene Expression Analysis of Urine Sediment: Evaluation for Potential Noninvasive Markers of Interstitial Cystitis/Bladder Pain Syndrome.</w:t>
      </w:r>
      <w:r>
        <w:rPr>
          <w:rFonts w:ascii="Times New Roman" w:hAnsi="Times New Roman"/>
        </w:rPr>
        <w:t xml:space="preserve"> </w:t>
      </w:r>
      <w:r>
        <w:rPr>
          <w:rFonts w:ascii="Times New Roman" w:hAnsi="Times New Roman"/>
          <w:i/>
        </w:rPr>
        <w:t xml:space="preserve">Journal of Urology</w:t>
      </w:r>
      <w:r>
        <w:rPr>
          <w:rFonts w:ascii="Times New Roman" w:hAnsi="Times New Roman"/>
        </w:rPr>
        <w:t xml:space="preserve">, 2012. DOI:</w:t>
      </w:r>
      <w:r>
        <w:rPr>
          <w:rFonts w:ascii="Times New Roman" w:hAnsi="Times New Roman"/>
        </w:rPr>
        <w:t xml:space="preserve"> </w:t>
      </w:r>
      <w:hyperlink r:id="rId177">
        <w:r>
          <w:rPr>
            <w:rStyle w:val="Hyperlink"/>
          </w:rPr>
          <w:t xml:space="preserve">https://doi.org/10.1016/j.juro.2011.09.142</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Lin, Tang, Kuang et al.. Peripheral Blood Transcriptomic Features Distinguishing Postpartum Depression from Major Depressive Disorder and Healthy Postpartum Controls.</w:t>
      </w:r>
      <w:r>
        <w:rPr>
          <w:rFonts w:ascii="Times New Roman" w:hAnsi="Times New Roman"/>
        </w:rPr>
        <w:t xml:space="preserve"> </w:t>
      </w:r>
      <w:r>
        <w:rPr>
          <w:rFonts w:ascii="Times New Roman" w:hAnsi="Times New Roman"/>
          <w:i/>
        </w:rPr>
        <w:t xml:space="preserve">International Journal of Women’s Health</w:t>
      </w:r>
      <w:r>
        <w:rPr>
          <w:rFonts w:ascii="Times New Roman" w:hAnsi="Times New Roman"/>
        </w:rPr>
        <w:t xml:space="preserve">, 2026. DOI:</w:t>
      </w:r>
      <w:r>
        <w:rPr>
          <w:rFonts w:ascii="Times New Roman" w:hAnsi="Times New Roman"/>
        </w:rPr>
        <w:t xml:space="preserve"> </w:t>
      </w:r>
      <w:hyperlink r:id="rId506">
        <w:r>
          <w:rPr>
            <w:rStyle w:val="Hyperlink"/>
          </w:rPr>
          <w:t xml:space="preserve">https://doi.org/10.2147/IJWH.S618420</w:t>
        </w:r>
      </w:hyperlink>
      <w:r>
        <w:rPr>
          <w:rFonts w:ascii="Times New Roman" w:hAnsi="Times New Roman"/>
        </w:rPr>
        <w:t xml:space="preserve">.</w:t>
      </w:r>
    </w:p>
    <w:p>
      <w:pPr>
        <w:pStyle w:val="Heading1"/>
      </w:pPr>
      <w:bookmarkStart w:id="507" w:name="accession-and-tool-ledgers"/>
      <w:r>
        <w:rPr>
          <w:rFonts w:ascii="Times New Roman" w:hAnsi="Times New Roman"/>
        </w:rPr>
        <w:t xml:space="preserve">Accession and tool ledgers</w:t>
      </w:r>
      <w:bookmarkEnd w:id="507"/>
    </w:p>
    <w:p>
      <w:pPr>
        <w:pStyle w:val="FirstParagraph"/>
      </w:pPr>
      <w:r>
        <w:rPr>
          <w:rFonts w:ascii="Times New Roman" w:hAnsi="Times New Roman"/>
        </w:rPr>
        <w:t xml:space="preserve">The distinct scientific tool inventory below is generated from the curated count ledger. It is not a list of every endpoint request, import, or development aid. Any row whose evidence fails inspection must be removed from the gate count. The accession manifest and the sample-to-study map are machine readable; an accession backed by a sample record does not constitute a study-level replicate. The DOI citations checked through Crossref include eight primary papers in the machine-readable bibliography ledger. Direct cohort accession links are kept in the results and source ledgers.</w:t>
      </w:r>
    </w:p>
    <w:p>
      <w:pPr>
        <w:pStyle w:val="TableCaption"/>
      </w:pPr>
      <w:r>
        <w:rPr>
          <w:rFonts w:ascii="Times New Roman" w:hAnsi="Times New Roman"/>
        </w:rPr>
        <w:t xml:space="preserve">49 distinct counted scientific services or analysis libraries, each with a committed analysis use. Aliases of a service count once and delivery/test/build infrastructure is excluded. Exact evidence paths are in results/program_tool_audit.csv.</w:t>
      </w:r>
    </w:p>
    <w:tbl>
      <w:tblPr>
        <w:tblStyle w:val="Table"/>
        <w:tblW w:type="pct" w:w="0.0"/>
        <w:tblLayout w:type="fixed"/>
        <w:tblLook w:firstRow="1"/>
        <w:tblCaption w:val="49 distinct counted scientific services or analysis libraries, each with a committed analysis use. Aliases of a service count once and delivery/test/build infrastructure is excluded. Exact evidence paths are in results/program_tool_audit.csv."/>
      </w:tblPr>
      <w:tblGrid>
        <w:gridCol w:w="2524"/>
        <w:gridCol w:w="2073"/>
        <w:gridCol w:w="4777"/>
      </w:tblGrid>
      <w:tr>
        <w:trPr>
          <w:cnfStyle w:firstRow="1"/>
        </w:trPr>
        <w:tc>
          <w:tcPr>
            <w:tcW w:type="dxa" w:w="2524"/>
            <w:tcBorders>
              <w:bottom w:val="single"/>
            </w:tcBorders>
            <w:vAlign w:val="bottom"/>
          </w:tcPr>
          <w:p>
            <w:pPr>
              <w:pStyle w:val="Compact"/>
              <w:jc w:val="left"/>
            </w:pPr>
            <w:r>
              <w:rPr>
                <w:rFonts w:ascii="Times New Roman" w:hAnsi="Times New Roman"/>
                <w:sz w:val="17"/>
              </w:rPr>
              <w:t xml:space="preserve">Scientific tool</w:t>
            </w:r>
          </w:p>
        </w:tc>
        <w:tc>
          <w:tcPr>
            <w:tcW w:type="dxa" w:w="2073"/>
            <w:tcBorders>
              <w:bottom w:val="single"/>
            </w:tcBorders>
            <w:vAlign w:val="bottom"/>
          </w:tcPr>
          <w:p>
            <w:pPr>
              <w:pStyle w:val="Compact"/>
              <w:jc w:val="left"/>
            </w:pPr>
            <w:r>
              <w:rPr>
                <w:rFonts w:ascii="Times New Roman" w:hAnsi="Times New Roman"/>
                <w:sz w:val="17"/>
              </w:rPr>
              <w:t xml:space="preserve">Type</w:t>
            </w:r>
          </w:p>
        </w:tc>
        <w:tc>
          <w:tcPr>
            <w:tcW w:type="dxa" w:w="4777"/>
            <w:tcBorders>
              <w:bottom w:val="single"/>
            </w:tcBorders>
            <w:vAlign w:val="bottom"/>
          </w:tcPr>
          <w:p>
            <w:pPr>
              <w:pStyle w:val="Compact"/>
              <w:jc w:val="left"/>
            </w:pPr>
            <w:r>
              <w:rPr>
                <w:rFonts w:ascii="Times New Roman" w:hAnsi="Times New Roman"/>
                <w:sz w:val="17"/>
              </w:rPr>
              <w:t xml:space="preserve">Analysis use</w:t>
            </w:r>
          </w:p>
        </w:tc>
      </w:tr>
      <w:tr>
        <w:tc>
          <w:tcPr>
            <w:tcW w:type="dxa" w:w="2524"/>
          </w:tcPr>
          <w:p>
            <w:pPr>
              <w:pStyle w:val="Compact"/>
              <w:jc w:val="left"/>
            </w:pPr>
            <w:r>
              <w:rPr>
                <w:rFonts w:ascii="Times New Roman" w:hAnsi="Times New Roman"/>
                <w:sz w:val="17"/>
              </w:rPr>
              <w:t xml:space="preserve">NCBI GEO</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esearch/esummary/FTP are one GEO service, not separate tools</w:t>
            </w:r>
          </w:p>
        </w:tc>
      </w:tr>
      <w:tr>
        <w:tc>
          <w:tcPr>
            <w:tcW w:type="dxa" w:w="2524"/>
          </w:tcPr>
          <w:p>
            <w:pPr>
              <w:pStyle w:val="Compact"/>
              <w:jc w:val="left"/>
            </w:pPr>
            <w:r>
              <w:rPr>
                <w:rFonts w:ascii="Times New Roman" w:hAnsi="Times New Roman"/>
                <w:sz w:val="17"/>
              </w:rPr>
              <w:t xml:space="preserve">Open Targets Platform</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Disease-target evidence</w:t>
            </w:r>
          </w:p>
        </w:tc>
      </w:tr>
      <w:tr>
        <w:tc>
          <w:tcPr>
            <w:tcW w:type="dxa" w:w="2524"/>
          </w:tcPr>
          <w:p>
            <w:pPr>
              <w:pStyle w:val="Compact"/>
              <w:jc w:val="left"/>
            </w:pPr>
            <w:r>
              <w:rPr>
                <w:rFonts w:ascii="Times New Roman" w:hAnsi="Times New Roman"/>
                <w:sz w:val="17"/>
              </w:rPr>
              <w:t xml:space="preserve">STRING</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Human physical PPI</w:t>
            </w:r>
          </w:p>
        </w:tc>
      </w:tr>
      <w:tr>
        <w:tc>
          <w:tcPr>
            <w:tcW w:type="dxa" w:w="2524"/>
          </w:tcPr>
          <w:p>
            <w:pPr>
              <w:pStyle w:val="Compact"/>
              <w:jc w:val="left"/>
            </w:pPr>
            <w:r>
              <w:rPr>
                <w:rFonts w:ascii="Times New Roman" w:hAnsi="Times New Roman"/>
                <w:sz w:val="17"/>
              </w:rPr>
              <w:t xml:space="preserve">PyTorch</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Neural models</w:t>
            </w:r>
          </w:p>
        </w:tc>
      </w:tr>
      <w:tr>
        <w:tc>
          <w:tcPr>
            <w:tcW w:type="dxa" w:w="2524"/>
          </w:tcPr>
          <w:p>
            <w:pPr>
              <w:pStyle w:val="Compact"/>
              <w:jc w:val="left"/>
            </w:pPr>
            <w:r>
              <w:rPr>
                <w:rFonts w:ascii="Times New Roman" w:hAnsi="Times New Roman"/>
                <w:sz w:val="17"/>
              </w:rPr>
              <w:t xml:space="preserve">scikit-learn</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Baselines and metrics</w:t>
            </w:r>
          </w:p>
        </w:tc>
      </w:tr>
      <w:tr>
        <w:tc>
          <w:tcPr>
            <w:tcW w:type="dxa" w:w="2524"/>
          </w:tcPr>
          <w:p>
            <w:pPr>
              <w:pStyle w:val="Compact"/>
              <w:jc w:val="left"/>
            </w:pPr>
            <w:r>
              <w:rPr>
                <w:rFonts w:ascii="Times New Roman" w:hAnsi="Times New Roman"/>
                <w:sz w:val="17"/>
              </w:rPr>
              <w:t xml:space="preserve">NumPy</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Numeric arrays</w:t>
            </w:r>
          </w:p>
        </w:tc>
      </w:tr>
      <w:tr>
        <w:tc>
          <w:tcPr>
            <w:tcW w:type="dxa" w:w="2524"/>
          </w:tcPr>
          <w:p>
            <w:pPr>
              <w:pStyle w:val="Compact"/>
              <w:jc w:val="left"/>
            </w:pPr>
            <w:r>
              <w:rPr>
                <w:rFonts w:ascii="Times New Roman" w:hAnsi="Times New Roman"/>
                <w:sz w:val="17"/>
              </w:rPr>
              <w:t xml:space="preserve">SciPy</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Sparse graphs and statistics</w:t>
            </w:r>
          </w:p>
        </w:tc>
      </w:tr>
      <w:tr>
        <w:tc>
          <w:tcPr>
            <w:tcW w:type="dxa" w:w="2524"/>
          </w:tcPr>
          <w:p>
            <w:pPr>
              <w:pStyle w:val="Compact"/>
              <w:jc w:val="left"/>
            </w:pPr>
            <w:r>
              <w:rPr>
                <w:rFonts w:ascii="Times New Roman" w:hAnsi="Times New Roman"/>
                <w:sz w:val="17"/>
              </w:rPr>
              <w:t xml:space="preserve">pandas</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Data tables</w:t>
            </w:r>
          </w:p>
        </w:tc>
      </w:tr>
      <w:tr>
        <w:tc>
          <w:tcPr>
            <w:tcW w:type="dxa" w:w="2524"/>
          </w:tcPr>
          <w:p>
            <w:pPr>
              <w:pStyle w:val="Compact"/>
              <w:jc w:val="left"/>
            </w:pPr>
            <w:r>
              <w:rPr>
                <w:rFonts w:ascii="Times New Roman" w:hAnsi="Times New Roman"/>
                <w:sz w:val="17"/>
              </w:rPr>
              <w:t xml:space="preserve">HGNC</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Local download and REST same service</w:t>
            </w:r>
          </w:p>
        </w:tc>
      </w:tr>
      <w:tr>
        <w:tc>
          <w:tcPr>
            <w:tcW w:type="dxa" w:w="2524"/>
          </w:tcPr>
          <w:p>
            <w:pPr>
              <w:pStyle w:val="Compact"/>
              <w:jc w:val="left"/>
            </w:pPr>
            <w:r>
              <w:rPr>
                <w:rFonts w:ascii="Times New Roman" w:hAnsi="Times New Roman"/>
                <w:sz w:val="17"/>
              </w:rPr>
              <w:t xml:space="preserve">g:Profiler</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Enrichment</w:t>
            </w:r>
          </w:p>
        </w:tc>
      </w:tr>
      <w:tr>
        <w:tc>
          <w:tcPr>
            <w:tcW w:type="dxa" w:w="2524"/>
          </w:tcPr>
          <w:p>
            <w:pPr>
              <w:pStyle w:val="Compact"/>
              <w:jc w:val="left"/>
            </w:pPr>
            <w:r>
              <w:rPr>
                <w:rFonts w:ascii="Times New Roman" w:hAnsi="Times New Roman"/>
                <w:sz w:val="17"/>
              </w:rPr>
              <w:t xml:space="preserve">NCBI PubMed</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Distinct database from GEO</w:t>
            </w:r>
          </w:p>
        </w:tc>
      </w:tr>
      <w:tr>
        <w:tc>
          <w:tcPr>
            <w:tcW w:type="dxa" w:w="2524"/>
          </w:tcPr>
          <w:p>
            <w:pPr>
              <w:pStyle w:val="Compact"/>
              <w:jc w:val="left"/>
            </w:pPr>
            <w:r>
              <w:rPr>
                <w:rFonts w:ascii="Times New Roman" w:hAnsi="Times New Roman"/>
                <w:sz w:val="17"/>
              </w:rPr>
              <w:t xml:space="preserve">Ensembl</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Gene lookup</w:t>
            </w:r>
          </w:p>
        </w:tc>
      </w:tr>
      <w:tr>
        <w:tc>
          <w:tcPr>
            <w:tcW w:type="dxa" w:w="2524"/>
          </w:tcPr>
          <w:p>
            <w:pPr>
              <w:pStyle w:val="Compact"/>
              <w:jc w:val="left"/>
            </w:pPr>
            <w:r>
              <w:rPr>
                <w:rFonts w:ascii="Times New Roman" w:hAnsi="Times New Roman"/>
                <w:sz w:val="17"/>
              </w:rPr>
              <w:t xml:space="preserve">UniProtKB</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Protein lookup</w:t>
            </w:r>
          </w:p>
        </w:tc>
      </w:tr>
      <w:tr>
        <w:tc>
          <w:tcPr>
            <w:tcW w:type="dxa" w:w="2524"/>
          </w:tcPr>
          <w:p>
            <w:pPr>
              <w:pStyle w:val="Compact"/>
              <w:jc w:val="left"/>
            </w:pPr>
            <w:r>
              <w:rPr>
                <w:rFonts w:ascii="Times New Roman" w:hAnsi="Times New Roman"/>
                <w:sz w:val="17"/>
              </w:rPr>
              <w:t xml:space="preserve">Europe PMC</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Literature</w:t>
            </w:r>
          </w:p>
        </w:tc>
      </w:tr>
      <w:tr>
        <w:tc>
          <w:tcPr>
            <w:tcW w:type="dxa" w:w="2524"/>
          </w:tcPr>
          <w:p>
            <w:pPr>
              <w:pStyle w:val="Compact"/>
              <w:jc w:val="left"/>
            </w:pPr>
            <w:r>
              <w:rPr>
                <w:rFonts w:ascii="Times New Roman" w:hAnsi="Times New Roman"/>
                <w:sz w:val="17"/>
              </w:rPr>
              <w:t xml:space="preserve">MyGene.info</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Identifier cross-check</w:t>
            </w:r>
          </w:p>
        </w:tc>
      </w:tr>
      <w:tr>
        <w:tc>
          <w:tcPr>
            <w:tcW w:type="dxa" w:w="2524"/>
          </w:tcPr>
          <w:p>
            <w:pPr>
              <w:pStyle w:val="Compact"/>
              <w:jc w:val="left"/>
            </w:pPr>
            <w:r>
              <w:rPr>
                <w:rFonts w:ascii="Times New Roman" w:hAnsi="Times New Roman"/>
                <w:sz w:val="17"/>
              </w:rPr>
              <w:t xml:space="preserve">Reactome</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Pathways</w:t>
            </w:r>
          </w:p>
        </w:tc>
      </w:tr>
      <w:tr>
        <w:tc>
          <w:tcPr>
            <w:tcW w:type="dxa" w:w="2524"/>
          </w:tcPr>
          <w:p>
            <w:pPr>
              <w:pStyle w:val="Compact"/>
              <w:jc w:val="left"/>
            </w:pPr>
            <w:r>
              <w:rPr>
                <w:rFonts w:ascii="Times New Roman" w:hAnsi="Times New Roman"/>
                <w:sz w:val="17"/>
              </w:rPr>
              <w:t xml:space="preserve">ChEMBL</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Target lookup</w:t>
            </w:r>
          </w:p>
        </w:tc>
      </w:tr>
      <w:tr>
        <w:tc>
          <w:tcPr>
            <w:tcW w:type="dxa" w:w="2524"/>
          </w:tcPr>
          <w:p>
            <w:pPr>
              <w:pStyle w:val="Compact"/>
              <w:jc w:val="left"/>
            </w:pPr>
            <w:r>
              <w:rPr>
                <w:rFonts w:ascii="Times New Roman" w:hAnsi="Times New Roman"/>
                <w:sz w:val="17"/>
              </w:rPr>
              <w:t xml:space="preserve">GTEx Portal</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Reference gene lookup only</w:t>
            </w:r>
          </w:p>
        </w:tc>
      </w:tr>
      <w:tr>
        <w:tc>
          <w:tcPr>
            <w:tcW w:type="dxa" w:w="2524"/>
          </w:tcPr>
          <w:p>
            <w:pPr>
              <w:pStyle w:val="Compact"/>
              <w:jc w:val="left"/>
            </w:pPr>
            <w:r>
              <w:rPr>
                <w:rFonts w:ascii="Times New Roman" w:hAnsi="Times New Roman"/>
                <w:sz w:val="17"/>
              </w:rPr>
              <w:t xml:space="preserve">Matplotlib</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Real-data figures</w:t>
            </w:r>
          </w:p>
        </w:tc>
      </w:tr>
      <w:tr>
        <w:tc>
          <w:tcPr>
            <w:tcW w:type="dxa" w:w="2524"/>
          </w:tcPr>
          <w:p>
            <w:pPr>
              <w:pStyle w:val="Compact"/>
              <w:jc w:val="left"/>
            </w:pPr>
            <w:r>
              <w:rPr>
                <w:rFonts w:ascii="Times New Roman" w:hAnsi="Times New Roman"/>
                <w:sz w:val="17"/>
              </w:rPr>
              <w:t xml:space="preserve">QuickGO</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GO annotation for ST3GAL2</w:t>
            </w:r>
          </w:p>
        </w:tc>
      </w:tr>
      <w:tr>
        <w:tc>
          <w:tcPr>
            <w:tcW w:type="dxa" w:w="2524"/>
          </w:tcPr>
          <w:p>
            <w:pPr>
              <w:pStyle w:val="Compact"/>
              <w:jc w:val="left"/>
            </w:pPr>
            <w:r>
              <w:rPr>
                <w:rFonts w:ascii="Times New Roman" w:hAnsi="Times New Roman"/>
                <w:sz w:val="17"/>
              </w:rPr>
              <w:t xml:space="preserve">IntAct</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Protein interactions</w:t>
            </w:r>
          </w:p>
        </w:tc>
      </w:tr>
      <w:tr>
        <w:tc>
          <w:tcPr>
            <w:tcW w:type="dxa" w:w="2524"/>
          </w:tcPr>
          <w:p>
            <w:pPr>
              <w:pStyle w:val="Compact"/>
              <w:jc w:val="left"/>
            </w:pPr>
            <w:r>
              <w:rPr>
                <w:rFonts w:ascii="Times New Roman" w:hAnsi="Times New Roman"/>
                <w:sz w:val="17"/>
              </w:rPr>
              <w:t xml:space="preserve">InterPro</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Protein domain annotations</w:t>
            </w:r>
          </w:p>
        </w:tc>
      </w:tr>
      <w:tr>
        <w:tc>
          <w:tcPr>
            <w:tcW w:type="dxa" w:w="2524"/>
          </w:tcPr>
          <w:p>
            <w:pPr>
              <w:pStyle w:val="Compact"/>
              <w:jc w:val="left"/>
            </w:pPr>
            <w:r>
              <w:rPr>
                <w:rFonts w:ascii="Times New Roman" w:hAnsi="Times New Roman"/>
                <w:sz w:val="17"/>
              </w:rPr>
              <w:t xml:space="preserve">OpenAlex</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PCOS co-mention literature metadata</w:t>
            </w:r>
          </w:p>
        </w:tc>
      </w:tr>
      <w:tr>
        <w:tc>
          <w:tcPr>
            <w:tcW w:type="dxa" w:w="2524"/>
          </w:tcPr>
          <w:p>
            <w:pPr>
              <w:pStyle w:val="Compact"/>
              <w:jc w:val="left"/>
            </w:pPr>
            <w:r>
              <w:rPr>
                <w:rFonts w:ascii="Times New Roman" w:hAnsi="Times New Roman"/>
                <w:sz w:val="17"/>
              </w:rPr>
              <w:t xml:space="preserve">EMBL-EBI OLS</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MONDO PCOS exact identifier validation</w:t>
            </w:r>
          </w:p>
        </w:tc>
      </w:tr>
      <w:tr>
        <w:tc>
          <w:tcPr>
            <w:tcW w:type="dxa" w:w="2524"/>
          </w:tcPr>
          <w:p>
            <w:pPr>
              <w:pStyle w:val="Compact"/>
              <w:jc w:val="left"/>
            </w:pPr>
            <w:r>
              <w:rPr>
                <w:rFonts w:ascii="Times New Roman" w:hAnsi="Times New Roman"/>
                <w:sz w:val="17"/>
              </w:rPr>
              <w:t xml:space="preserve">AlphaFold Protein Structure Database</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Structure prediction metadata for ST3GAL2 and SDC3; not a disease validation</w:t>
            </w:r>
          </w:p>
        </w:tc>
      </w:tr>
      <w:tr>
        <w:tc>
          <w:tcPr>
            <w:tcW w:type="dxa" w:w="2524"/>
          </w:tcPr>
          <w:p>
            <w:pPr>
              <w:pStyle w:val="Compact"/>
              <w:jc w:val="left"/>
            </w:pPr>
            <w:r>
              <w:rPr>
                <w:rFonts w:ascii="Times New Roman" w:hAnsi="Times New Roman"/>
                <w:sz w:val="17"/>
              </w:rPr>
              <w:t xml:space="preserve">EMBL-EBI BioStudies</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Relevant PE placenta array E-GEOD-4707 checked for early/late onset and pooled reference design; no independent new validation inferred</w:t>
            </w:r>
          </w:p>
        </w:tc>
      </w:tr>
      <w:tr>
        <w:tc>
          <w:tcPr>
            <w:tcW w:type="dxa" w:w="2524"/>
          </w:tcPr>
          <w:p>
            <w:pPr>
              <w:pStyle w:val="Compact"/>
              <w:jc w:val="left"/>
            </w:pPr>
            <w:r>
              <w:rPr>
                <w:rFonts w:ascii="Times New Roman" w:hAnsi="Times New Roman"/>
                <w:sz w:val="17"/>
              </w:rPr>
              <w:t xml:space="preserve">MetaboLights</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Relevant human PCOS granulosa-cell LC-MS study MTBLS12367 checked; distinct metabolite endpoint does not validate expression sign set</w:t>
            </w:r>
          </w:p>
        </w:tc>
      </w:tr>
      <w:tr>
        <w:tc>
          <w:tcPr>
            <w:tcW w:type="dxa" w:w="2524"/>
          </w:tcPr>
          <w:p>
            <w:pPr>
              <w:pStyle w:val="Compact"/>
              <w:jc w:val="left"/>
            </w:pPr>
            <w:r>
              <w:rPr>
                <w:rFonts w:ascii="Times New Roman" w:hAnsi="Times New Roman"/>
                <w:sz w:val="17"/>
              </w:rPr>
              <w:t xml:space="preserve">CZ CellxGene</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Human normal trophoblast reference dataset 6963899a used to bound tissue composition; secondary and not a PE disease validation</w:t>
            </w:r>
          </w:p>
        </w:tc>
      </w:tr>
      <w:tr>
        <w:tc>
          <w:tcPr>
            <w:tcW w:type="dxa" w:w="2524"/>
          </w:tcPr>
          <w:p>
            <w:pPr>
              <w:pStyle w:val="Compact"/>
              <w:jc w:val="left"/>
            </w:pPr>
            <w:r>
              <w:rPr>
                <w:rFonts w:ascii="Times New Roman" w:hAnsi="Times New Roman"/>
                <w:sz w:val="17"/>
              </w:rPr>
              <w:t xml:space="preserve">Human Protein Atlas</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ST3GAL2 protein-evidence and exact Ensembl identifier checked; not clinical validation</w:t>
            </w:r>
          </w:p>
        </w:tc>
      </w:tr>
      <w:tr>
        <w:tc>
          <w:tcPr>
            <w:tcW w:type="dxa" w:w="2524"/>
          </w:tcPr>
          <w:p>
            <w:pPr>
              <w:pStyle w:val="Compact"/>
              <w:jc w:val="left"/>
            </w:pPr>
            <w:r>
              <w:rPr>
                <w:rFonts w:ascii="Times New Roman" w:hAnsi="Times New Roman"/>
                <w:sz w:val="17"/>
              </w:rPr>
              <w:t xml:space="preserve">NCBI ClinVar</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105 ST3GAL2 gene-associated records checked to reject inference that candidate lacks clinical variant reports; no preeclampsia link inferred</w:t>
            </w:r>
          </w:p>
        </w:tc>
      </w:tr>
      <w:tr>
        <w:tc>
          <w:tcPr>
            <w:tcW w:type="dxa" w:w="2524"/>
          </w:tcPr>
          <w:p>
            <w:pPr>
              <w:pStyle w:val="Compact"/>
              <w:jc w:val="left"/>
            </w:pPr>
            <w:r>
              <w:rPr>
                <w:rFonts w:ascii="Times New Roman" w:hAnsi="Times New Roman"/>
                <w:sz w:val="17"/>
              </w:rPr>
              <w:t xml:space="preserve">PRIDE Archive</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Relevant human first-trimester serum PE proteome PXD080843 identified as distinct modality and noncomparable benchmark; prior unrelated query excluded</w:t>
            </w:r>
          </w:p>
        </w:tc>
      </w:tr>
      <w:tr>
        <w:tc>
          <w:tcPr>
            <w:tcW w:type="dxa" w:w="2524"/>
          </w:tcPr>
          <w:p>
            <w:pPr>
              <w:pStyle w:val="Compact"/>
              <w:jc w:val="left"/>
            </w:pPr>
            <w:r>
              <w:rPr>
                <w:rFonts w:ascii="Times New Roman" w:hAnsi="Times New Roman"/>
                <w:sz w:val="17"/>
              </w:rPr>
              <w:t xml:space="preserve">statsmodels</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Independent Paule-Mandel and DerSimonian-Laird pooled-effect sensitivity for falsified ST3GAL2 preeclampsia prediction</w:t>
            </w:r>
          </w:p>
        </w:tc>
      </w:tr>
      <w:tr>
        <w:tc>
          <w:tcPr>
            <w:tcW w:type="dxa" w:w="2524"/>
          </w:tcPr>
          <w:p>
            <w:pPr>
              <w:pStyle w:val="Compact"/>
              <w:jc w:val="left"/>
            </w:pPr>
            <w:r>
              <w:rPr>
                <w:rFonts w:ascii="Times New Roman" w:hAnsi="Times New Roman"/>
                <w:sz w:val="17"/>
              </w:rPr>
              <w:t xml:space="preserve">NetworkX</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Physical STRING subgraph components and random edge-count context for fixed PCOS and IC sign panels</w:t>
            </w:r>
          </w:p>
        </w:tc>
      </w:tr>
      <w:tr>
        <w:tc>
          <w:tcPr>
            <w:tcW w:type="dxa" w:w="2524"/>
          </w:tcPr>
          <w:p>
            <w:pPr>
              <w:pStyle w:val="Compact"/>
              <w:jc w:val="left"/>
            </w:pPr>
            <w:r>
              <w:rPr>
                <w:rFonts w:ascii="Times New Roman" w:hAnsi="Times New Roman"/>
                <w:sz w:val="17"/>
              </w:rPr>
              <w:t xml:space="preserve">seaborn</w:t>
            </w:r>
          </w:p>
        </w:tc>
        <w:tc>
          <w:tcPr>
            <w:tcW w:type="dxa" w:w="2073"/>
          </w:tcPr>
          <w:p>
            <w:pPr>
              <w:pStyle w:val="Compact"/>
              <w:jc w:val="left"/>
            </w:pPr>
            <w:r>
              <w:rPr>
                <w:rFonts w:ascii="Times New Roman" w:hAnsi="Times New Roman"/>
                <w:sz w:val="17"/>
              </w:rPr>
              <w:t xml:space="preserve">library</w:t>
            </w:r>
          </w:p>
        </w:tc>
        <w:tc>
          <w:tcPr>
            <w:tcW w:type="dxa" w:w="4777"/>
          </w:tcPr>
          <w:p>
            <w:pPr>
              <w:pStyle w:val="Compact"/>
              <w:jc w:val="left"/>
            </w:pPr>
            <w:r>
              <w:rPr>
                <w:rFonts w:ascii="Times New Roman" w:hAnsi="Times New Roman"/>
                <w:sz w:val="17"/>
              </w:rPr>
              <w:t xml:space="preserve">Rendered empirical matched-null distributions for PCOS P8 and IC P7 failures using observed draws</w:t>
            </w:r>
          </w:p>
        </w:tc>
      </w:tr>
      <w:tr>
        <w:tc>
          <w:tcPr>
            <w:tcW w:type="dxa" w:w="2524"/>
          </w:tcPr>
          <w:p>
            <w:pPr>
              <w:pStyle w:val="Compact"/>
              <w:jc w:val="left"/>
            </w:pPr>
            <w:r>
              <w:rPr>
                <w:rFonts w:ascii="Times New Roman" w:hAnsi="Times New Roman"/>
                <w:sz w:val="17"/>
              </w:rPr>
              <w:t xml:space="preserve">Crossref</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Verified titles and publication dates of eight DOI research studies cited in manuscript</w:t>
            </w:r>
          </w:p>
        </w:tc>
      </w:tr>
      <w:tr>
        <w:tc>
          <w:tcPr>
            <w:tcW w:type="dxa" w:w="2524"/>
          </w:tcPr>
          <w:p>
            <w:pPr>
              <w:pStyle w:val="Compact"/>
              <w:jc w:val="left"/>
            </w:pPr>
            <w:r>
              <w:rPr>
                <w:rFonts w:ascii="Times New Roman" w:hAnsi="Times New Roman"/>
                <w:sz w:val="17"/>
              </w:rPr>
              <w:t xml:space="preserve">NHGRI-EBI GWAS Catalog</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Exact preeclampsia trait MONDO_0005081 association-gene audit; no independent expression validation inferred</w:t>
            </w:r>
          </w:p>
        </w:tc>
      </w:tr>
      <w:tr>
        <w:tc>
          <w:tcPr>
            <w:tcW w:type="dxa" w:w="2524"/>
          </w:tcPr>
          <w:p>
            <w:pPr>
              <w:pStyle w:val="Compact"/>
              <w:jc w:val="left"/>
            </w:pPr>
            <w:r>
              <w:rPr>
                <w:rFonts w:ascii="Times New Roman" w:hAnsi="Times New Roman"/>
                <w:sz w:val="17"/>
              </w:rPr>
              <w:t xml:space="preserve">RCSB Protein Data Bank</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Exact human FES kinase structures 8XKP and 3BKB checked for protein/domain context; neither validates a PE biomarker</w:t>
            </w:r>
          </w:p>
        </w:tc>
      </w:tr>
      <w:tr>
        <w:tc>
          <w:tcPr>
            <w:tcW w:type="dxa" w:w="2524"/>
          </w:tcPr>
          <w:p>
            <w:pPr>
              <w:pStyle w:val="Compact"/>
              <w:jc w:val="left"/>
            </w:pPr>
            <w:r>
              <w:rPr>
                <w:rFonts w:ascii="Times New Roman" w:hAnsi="Times New Roman"/>
                <w:sz w:val="17"/>
              </w:rPr>
              <w:t xml:space="preserve">BioGRID</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Human FES record 108533: 40 interactors and 53 curated interactions with primary interaction pages checked; not PE-specific evidence</w:t>
            </w:r>
          </w:p>
        </w:tc>
      </w:tr>
      <w:tr>
        <w:tc>
          <w:tcPr>
            <w:tcW w:type="dxa" w:w="2524"/>
          </w:tcPr>
          <w:p>
            <w:pPr>
              <w:pStyle w:val="Compact"/>
              <w:jc w:val="left"/>
            </w:pPr>
            <w:r>
              <w:rPr>
                <w:rFonts w:ascii="Times New Roman" w:hAnsi="Times New Roman"/>
                <w:sz w:val="17"/>
              </w:rPr>
              <w:t xml:space="preserve">GlyGen</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Exact human FES P07332-1 phosphorylation-site records checked to distinguish kinase activity from RNA abundance; no PE mechanism inferred</w:t>
            </w:r>
          </w:p>
        </w:tc>
      </w:tr>
      <w:tr>
        <w:tc>
          <w:tcPr>
            <w:tcW w:type="dxa" w:w="2524"/>
          </w:tcPr>
          <w:p>
            <w:pPr>
              <w:pStyle w:val="Compact"/>
              <w:jc w:val="left"/>
            </w:pPr>
            <w:r>
              <w:rPr>
                <w:rFonts w:ascii="Times New Roman" w:hAnsi="Times New Roman"/>
                <w:sz w:val="17"/>
              </w:rPr>
              <w:t xml:space="preserve">iPTMnet</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Exact FES P07332 kinase-substrate entry checked BCR Y177 and PECAM1 Y690 to separate PTM mechanism from RNA; source overlap and no PE relevance stated</w:t>
            </w:r>
          </w:p>
        </w:tc>
      </w:tr>
      <w:tr>
        <w:tc>
          <w:tcPr>
            <w:tcW w:type="dxa" w:w="2524"/>
          </w:tcPr>
          <w:p>
            <w:pPr>
              <w:pStyle w:val="Compact"/>
              <w:jc w:val="left"/>
            </w:pPr>
            <w:r>
              <w:rPr>
                <w:rFonts w:ascii="Times New Roman" w:hAnsi="Times New Roman"/>
                <w:sz w:val="17"/>
              </w:rPr>
              <w:t xml:space="preserve">WikiPathways</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Current human pathway-node exact-symbol audit of six frozen P9 genes; no PE disease validation or independent assay inferred</w:t>
            </w:r>
          </w:p>
        </w:tc>
      </w:tr>
      <w:tr>
        <w:tc>
          <w:tcPr>
            <w:tcW w:type="dxa" w:w="2524"/>
          </w:tcPr>
          <w:p>
            <w:pPr>
              <w:pStyle w:val="Compact"/>
              <w:jc w:val="left"/>
            </w:pPr>
            <w:r>
              <w:rPr>
                <w:rFonts w:ascii="Times New Roman" w:hAnsi="Times New Roman"/>
                <w:sz w:val="17"/>
              </w:rPr>
              <w:t xml:space="preserve">Monarch Initiative</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Resolved exact PE MONDO ID to phenotype and three direct Orphanet-derived associated genes; six-gene fixed-panel absence is resource-specific, not evidence of novelty</w:t>
            </w:r>
          </w:p>
        </w:tc>
      </w:tr>
      <w:tr>
        <w:tc>
          <w:tcPr>
            <w:tcW w:type="dxa" w:w="2524"/>
          </w:tcPr>
          <w:p>
            <w:pPr>
              <w:pStyle w:val="Compact"/>
              <w:jc w:val="left"/>
            </w:pPr>
            <w:r>
              <w:rPr>
                <w:rFonts w:ascii="Times New Roman" w:hAnsi="Times New Roman"/>
                <w:sz w:val="17"/>
              </w:rPr>
              <w:t xml:space="preserve">Human Cell Atlas Data Portal</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Exact PE PBMC project source screened via Azul index: five donors, 80,429 estimated cells, pregnancy/postpartum context; not counted as independently validated expression</w:t>
            </w:r>
          </w:p>
        </w:tc>
      </w:tr>
      <w:tr>
        <w:tc>
          <w:tcPr>
            <w:tcW w:type="dxa" w:w="2524"/>
          </w:tcPr>
          <w:p>
            <w:pPr>
              <w:pStyle w:val="Compact"/>
              <w:jc w:val="left"/>
            </w:pPr>
            <w:r>
              <w:rPr>
                <w:rFonts w:ascii="Times New Roman" w:hAnsi="Times New Roman"/>
                <w:sz w:val="17"/>
              </w:rPr>
              <w:t xml:space="preserve">TISSUES (JensenLab)</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Fetched 339455 human curated tissue-evidence rows and checked six frozen PE genes at exact blood/placenta tissues; one FURIN blood record is context only</w:t>
            </w:r>
          </w:p>
        </w:tc>
      </w:tr>
      <w:tr>
        <w:tc>
          <w:tcPr>
            <w:tcW w:type="dxa" w:w="2524"/>
          </w:tcPr>
          <w:p>
            <w:pPr>
              <w:pStyle w:val="Compact"/>
              <w:jc w:val="left"/>
            </w:pPr>
            <w:r>
              <w:rPr>
                <w:rFonts w:ascii="Times New Roman" w:hAnsi="Times New Roman"/>
                <w:sz w:val="17"/>
              </w:rPr>
              <w:t xml:space="preserve">EMBL-EBI BioSamples</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Verified cross-archive GSM8158605/SAMN40568562/SRS20810958 identity and repeated T-title vs PE-group conflict; mirrored depositor fields do not adjudicate label</w:t>
            </w:r>
          </w:p>
        </w:tc>
      </w:tr>
      <w:tr>
        <w:tc>
          <w:tcPr>
            <w:tcW w:type="dxa" w:w="2524"/>
          </w:tcPr>
          <w:p>
            <w:pPr>
              <w:pStyle w:val="Compact"/>
              <w:jc w:val="left"/>
            </w:pPr>
            <w:r>
              <w:rPr>
                <w:rFonts w:ascii="Times New Roman" w:hAnsi="Times New Roman"/>
                <w:sz w:val="17"/>
              </w:rPr>
              <w:t xml:space="preserve">EMBL-EBI ENA Portal</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Mapped conflicted P45 BioSample to exactly one RNA-Seq run SRR28411428 and project PRJNA1090471; run identity, not diagnosis or expression validation</w:t>
            </w:r>
          </w:p>
        </w:tc>
      </w:tr>
      <w:tr>
        <w:tc>
          <w:tcPr>
            <w:tcW w:type="dxa" w:w="2524"/>
          </w:tcPr>
          <w:p>
            <w:pPr>
              <w:pStyle w:val="Compact"/>
              <w:jc w:val="left"/>
            </w:pPr>
            <w:r>
              <w:rPr>
                <w:rFonts w:ascii="Times New Roman" w:hAnsi="Times New Roman"/>
                <w:sz w:val="17"/>
              </w:rPr>
              <w:t xml:space="preserve">KEGG REST</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Mapped pinned HGNC Entrez IDs for six fixed PE genes to KEGG human pathways; cross-resource pathway disagreement contextualized, not evidence of PE validation</w:t>
            </w:r>
          </w:p>
        </w:tc>
      </w:tr>
      <w:tr>
        <w:tc>
          <w:tcPr>
            <w:tcW w:type="dxa" w:w="2524"/>
          </w:tcPr>
          <w:p>
            <w:pPr>
              <w:pStyle w:val="Compact"/>
              <w:jc w:val="left"/>
            </w:pPr>
            <w:r>
              <w:rPr>
                <w:rFonts w:ascii="Times New Roman" w:hAnsi="Times New Roman"/>
                <w:sz w:val="17"/>
              </w:rPr>
              <w:t xml:space="preserve">Human Phenotype Ontology</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Fetched versioned 2026-09-02 HPO annotations and exact disease-name PE entries; excluded falsely assumed OMIM ID after row audit; phenotype context only</w:t>
            </w:r>
          </w:p>
        </w:tc>
      </w:tr>
      <w:tr>
        <w:tc>
          <w:tcPr>
            <w:tcW w:type="dxa" w:w="2524"/>
          </w:tcPr>
          <w:p>
            <w:pPr>
              <w:pStyle w:val="Compact"/>
              <w:jc w:val="left"/>
            </w:pPr>
            <w:r>
              <w:rPr>
                <w:rFonts w:ascii="Times New Roman" w:hAnsi="Times New Roman"/>
                <w:sz w:val="17"/>
              </w:rPr>
              <w:t xml:space="preserve">BindingDB</w:t>
            </w:r>
          </w:p>
        </w:tc>
        <w:tc>
          <w:tcPr>
            <w:tcW w:type="dxa" w:w="2073"/>
          </w:tcPr>
          <w:p>
            <w:pPr>
              <w:pStyle w:val="Compact"/>
              <w:jc w:val="left"/>
            </w:pPr>
            <w:r>
              <w:rPr>
                <w:rFonts w:ascii="Times New Roman" w:hAnsi="Times New Roman"/>
                <w:sz w:val="17"/>
              </w:rPr>
              <w:t xml:space="preserve">service</w:t>
            </w:r>
          </w:p>
        </w:tc>
        <w:tc>
          <w:tcPr>
            <w:tcW w:type="dxa" w:w="4777"/>
          </w:tcPr>
          <w:p>
            <w:pPr>
              <w:pStyle w:val="Compact"/>
              <w:jc w:val="left"/>
            </w:pPr>
            <w:r>
              <w:rPr>
                <w:rFonts w:ascii="Times New Roman" w:hAnsi="Times New Roman"/>
                <w:sz w:val="17"/>
              </w:rPr>
              <w:t xml:space="preserve">Exact FES UniProt P07332 query returned 53 heterogeneous ligand-affinity records; druggability context only, no PE efficacy or peptide validation</w:t>
            </w:r>
          </w:p>
        </w:tc>
      </w:tr>
    </w:tbl>
    <w:sectPr>
      <w:pgSz w:w="11909" w:h="16834"/>
      <w:pgMar w:top="1267" w:bottom="1267" w:left="1267" w:right="12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s="Times New Roman" w:eastAsia="Times New Roman"/>
    </w:rPr>
  </w:style>
  <w:style w:type="paragraph" w:styleId="BodyText">
    <w:name w:val="Body Text"/>
    <w:basedOn w:val="Normal"/>
    <w:link w:val="BodyTextChar"/>
    <w:pPr>
      <w:spacing w:before="180" w:after="180"/>
    </w:pPr>
    <w:qFormat/>
    <w:rPr>
      <w:rFonts w:ascii="Times New Roman" w:hAnsi="Times New Roman" w:cs="Times New Roman" w:eastAsia="Times New Roman"/>
    </w:rPr>
  </w:style>
  <w:style w:type="paragraph" w:customStyle="1" w:styleId="FirstParagraph">
    <w:name w:val="First Paragraph"/>
    <w:basedOn w:val="BodyText"/>
    <w:next w:val="BodyText"/>
    <w:qFormat/>
    <w:rPr>
      <w:rFonts w:ascii="Times New Roman" w:hAnsi="Times New Roman" w:cs="Times New Roman" w:eastAsia="Times New Roman"/>
    </w:rPr>
  </w:style>
  <w:style w:type="paragraph" w:customStyle="1" w:styleId="Compact">
    <w:name w:val="Compact"/>
    <w:basedOn w:val="BodyText"/>
    <w:qFormat/>
    <w:pPr>
      <w:spacing w:before="36" w:after="36"/>
    </w:pPr>
    <w:rPr>
      <w:rFonts w:ascii="Times New Roman" w:hAnsi="Times New Roman" w:cs="Times New Roman" w:eastAsia="Times New Roman"/>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cs="Times New Roman" w:eastAsia="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cs="Times New Roman" w:eastAsia="Times New Roman"/>
      <w:sz w:val="30"/>
      <w:szCs w:val="30"/>
    </w:rPr>
  </w:style>
  <w:style w:type="paragraph" w:customStyle="1" w:styleId="Author">
    <w:name w:val="Author"/>
    <w:next w:val="BodyText"/>
    <w:qFormat/>
    <w:pPr>
      <w:keepNext/>
      <w:keepLines/>
      <w:jc w:val="center"/>
    </w:pPr>
    <w:rPr>
      <w:rFonts w:ascii="Times New Roman" w:hAnsi="Times New Roman" w:cs="Times New Roman" w:eastAsia="Times New Roman"/>
    </w:rPr>
  </w:style>
  <w:style w:type="paragraph" w:styleId="Date">
    <w:name w:val="Date"/>
    <w:next w:val="BodyText"/>
    <w:qFormat/>
    <w:pPr>
      <w:keepNext/>
      <w:keepLines/>
      <w:jc w:val="center"/>
    </w:pPr>
    <w:rPr>
      <w:rFonts w:ascii="Times New Roman" w:hAnsi="Times New Roman" w:cs="Times New Roman" w:eastAsia="Times New Roman"/>
    </w:rPr>
  </w:style>
  <w:style w:type="paragraph" w:customStyle="1" w:styleId="Abstract">
    <w:name w:val="Abstract"/>
    <w:basedOn w:val="Normal"/>
    <w:next w:val="BodyText"/>
    <w:qFormat/>
    <w:pPr>
      <w:keepNext/>
      <w:keepLines/>
      <w:spacing w:before="300" w:after="300"/>
    </w:pPr>
    <w:rPr>
      <w:rFonts w:ascii="Times New Roman" w:hAnsi="Times New Roman" w:cs="Times New Roman" w:eastAsia="Times New Roman"/>
      <w:sz w:val="20"/>
      <w:szCs w:val="20"/>
    </w:rPr>
  </w:style>
  <w:style w:type="paragraph" w:styleId="Bibliography">
    <w:name w:val="Bibliography"/>
    <w:basedOn w:val="Normal"/>
    <w:next w:val="Bibliography"/>
    <w:qFormat/>
    <w:pPr/>
    <w:rPr>
      <w:rFonts w:ascii="Times New Roman" w:hAnsi="Times New Roman" w:cs="Times New Roman" w:eastAsia="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cs="Times New Roman" w:eastAsia="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cs="Times New Roman" w:eastAsia="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cs="Times New Roman" w:eastAsia="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cs="Times New Roman" w:eastAsia="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cs="Times New Roman" w:eastAsia="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cs="Times New Roman" w:eastAsia="Times New Roman"/>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cs="Times New Roman" w:eastAsia="Times New Roman"/>
    </w:rPr>
  </w:style>
  <w:style w:type="paragraph" w:styleId="FootnoteText">
    <w:name w:val="Footnote Text"/>
    <w:basedOn w:val="Normal"/>
    <w:next w:val="FootnoteText"/>
    <w:uiPriority w:val="9"/>
    <w:unhideWhenUsed/>
    <w:qFormat/>
    <w:rPr>
      <w:rFonts w:ascii="Times New Roman" w:hAnsi="Times New Roman" w:cs="Times New Roman" w:eastAsia="Times New Roman"/>
    </w:rPr>
  </w:style>
  <w:style w:type="character" w:default="1" w:styleId="DefaultParagraphFont">
    <w:name w:val="Default Paragraph Font"/>
    <w:semiHidden/>
    <w:unhideWhenUsed/>
    <w:rPr>
      <w:rFonts w:ascii="Times New Roman" w:hAnsi="Times New Roman" w:cs="Times New Roman" w:eastAsia="Times New Roman"/>
    </w:rPr>
  </w:style>
  <w:style w:type="table" w:default="1" w:styleId="Table">
    <w:name w:val="Table"/>
    <w:basedOn w:val="TableNormal"/>
    <w:semiHidden/>
    <w:unhideWhenUsed/>
    <w:qFormat/>
    <w:rPr>
      <w:rFonts w:ascii="Times New Roman" w:hAnsi="Times New Roman" w:cs="Times New Roman" w:eastAsia="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cs="Times New Roman" w:eastAsia="Times New Roman"/>
      <w:b/>
    </w:rPr>
  </w:style>
  <w:style w:type="paragraph" w:customStyle="1" w:styleId="Definition">
    <w:name w:val="Definition"/>
    <w:basedOn w:val="Normal"/>
    <w:rPr>
      <w:rFonts w:ascii="Times New Roman" w:hAnsi="Times New Roman" w:cs="Times New Roman" w:eastAsia="Times New Roman"/>
    </w:rPr>
  </w:style>
  <w:style w:type="paragraph" w:styleId="Caption">
    <w:name w:val="Caption"/>
    <w:basedOn w:val="Normal"/>
    <w:link w:val="BodyTextChar"/>
    <w:pPr>
      <w:spacing w:before="0" w:after="120"/>
    </w:pPr>
    <w:rPr>
      <w:rFonts w:ascii="Times New Roman" w:hAnsi="Times New Roman" w:cs="Times New Roman" w:eastAsia="Times New Roman"/>
      <w:i/>
    </w:rPr>
  </w:style>
  <w:style w:type="paragraph" w:customStyle="1" w:styleId="TableCaption">
    <w:name w:val="Table Caption"/>
    <w:basedOn w:val="Caption"/>
    <w:pPr>
      <w:keepNext/>
    </w:pPr>
    <w:rPr>
      <w:rFonts w:ascii="Times New Roman" w:hAnsi="Times New Roman" w:cs="Times New Roman" w:eastAsia="Times New Roman"/>
    </w:rPr>
  </w:style>
  <w:style w:type="paragraph" w:customStyle="1" w:styleId="ImageCaption">
    <w:name w:val="Image Caption"/>
    <w:basedOn w:val="Caption"/>
    <w:rPr>
      <w:rFonts w:ascii="Times New Roman" w:hAnsi="Times New Roman" w:cs="Times New Roman" w:eastAsia="Times New Roman"/>
    </w:rPr>
  </w:style>
  <w:style w:type="paragraph" w:customStyle="1" w:styleId="Figure">
    <w:name w:val="Figure"/>
    <w:basedOn w:val="Normal"/>
    <w:rPr>
      <w:rFonts w:ascii="Times New Roman" w:hAnsi="Times New Roman" w:cs="Times New Roman" w:eastAsia="Times New Roman"/>
    </w:rPr>
  </w:style>
  <w:style w:type="paragraph" w:customStyle="1" w:styleId="CaptionedFigure">
    <w:name w:val="Captioned Figure"/>
    <w:basedOn w:val="Figure"/>
    <w:pPr>
      <w:keepNext/>
    </w:pPr>
    <w:rPr>
      <w:rFonts w:ascii="Times New Roman" w:hAnsi="Times New Roman" w:cs="Times New Roman" w:eastAsia="Times New Roman"/>
    </w:rPr>
  </w:style>
  <w:style w:type="character" w:customStyle="1" w:styleId="BodyTextChar">
    <w:name w:val="Body Text Char"/>
    <w:basedOn w:val="DefaultParagraphFont"/>
    <w:link w:val="BodyText"/>
    <w:rPr>
      <w:rFonts w:ascii="Times New Roman" w:hAnsi="Times New Roman" w:cs="Times New Roman" w:eastAsia="Times New Roman"/>
    </w:rPr>
  </w:style>
  <w:style w:type="character" w:customStyle="1" w:styleId="VerbatimChar">
    <w:name w:val="Verbatim Char"/>
    <w:basedOn w:val="BodyTextChar"/>
    <w:rPr>
      <w:rFonts w:ascii="Times New Roman" w:hAnsi="Times New Roman" w:cs="Times New Roman" w:eastAsia="Times New Roman"/>
      <w:sz w:val="22"/>
    </w:rPr>
  </w:style>
  <w:style w:type="character" w:styleId="FootnoteReference">
    <w:name w:val="Footnote Reference"/>
    <w:basedOn w:val="BodyTextChar"/>
    <w:rPr>
      <w:rFonts w:ascii="Times New Roman" w:hAnsi="Times New Roman" w:cs="Times New Roman" w:eastAsia="Times New Roman"/>
      <w:vertAlign w:val="superscript"/>
    </w:rPr>
  </w:style>
  <w:style w:type="character" w:styleId="Hyperlink">
    <w:name w:val="Hyperlink"/>
    <w:basedOn w:val="BodyTextChar"/>
    <w:rPr>
      <w:rFonts w:ascii="Times New Roman" w:hAnsi="Times New Roman" w:cs="Times New Roman" w:eastAsia="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rFonts w:ascii="Times New Roman" w:hAnsi="Times New Roman" w:cs="Times New Roman" w:eastAsia="Times New Roman"/>
    </w:rPr>
  </w:style>
  <w:style w:type="character" w:customStyle="1" w:styleId="CommentTok">
    <w:name w:val="CommentTok"/>
    <w:basedOn w:val="VerbatimChar"/>
    <w:rPr>
      <w:color w:val="60a0b0"/>
      <w:rFonts w:ascii="Times New Roman" w:hAnsi="Times New Roman" w:cs="Times New Roman" w:eastAsia="Times New Roman"/>
      <w:i/>
    </w:rPr>
  </w:style>
  <w:style w:type="character" w:customStyle="1" w:styleId="DocumentationTok">
    <w:name w:val="DocumentationTok"/>
    <w:basedOn w:val="VerbatimChar"/>
    <w:rPr>
      <w:color w:val="ba2121"/>
      <w:rFonts w:ascii="Times New Roman" w:hAnsi="Times New Roman" w:cs="Times New Roman" w:eastAsia="Times New Roman"/>
      <w:i/>
    </w:rPr>
  </w:style>
  <w:style w:type="character" w:customStyle="1" w:styleId="AnnotationTok">
    <w:name w:val="AnnotationTok"/>
    <w:basedOn w:val="VerbatimChar"/>
    <w:rPr>
      <w:color w:val="60a0b0"/>
      <w:rFonts w:ascii="Times New Roman" w:hAnsi="Times New Roman" w:cs="Times New Roman" w:eastAsia="Times New Roman"/>
      <w:b/>
      <w:i/>
    </w:rPr>
  </w:style>
  <w:style w:type="character" w:customStyle="1" w:styleId="CommentVarTok">
    <w:name w:val="CommentVarTok"/>
    <w:basedOn w:val="VerbatimChar"/>
    <w:rPr>
      <w:color w:val="60a0b0"/>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color w:val="007020"/>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color w:val="60a0b0"/>
      <w:rFonts w:ascii="Times New Roman" w:hAnsi="Times New Roman" w:cs="Times New Roman" w:eastAsia="Times New Roman"/>
      <w:b/>
      <w:i/>
    </w:rPr>
  </w:style>
  <w:style w:type="character" w:customStyle="1" w:styleId="WarningTok">
    <w:name w:val="WarningTok"/>
    <w:basedOn w:val="VerbatimChar"/>
    <w:rPr>
      <w:color w:val="60a0b0"/>
      <w:rFonts w:ascii="Times New Roman" w:hAnsi="Times New Roman" w:cs="Times New Roman" w:eastAsia="Times New Roman"/>
      <w:b/>
      <w:i/>
    </w:rPr>
  </w:style>
  <w:style w:type="character" w:customStyle="1" w:styleId="AlertTok">
    <w:name w:val="AlertTok"/>
    <w:basedOn w:val="VerbatimChar"/>
    <w:rPr>
      <w:color w:val="ff0000"/>
      <w:rFonts w:ascii="Times New Roman" w:hAnsi="Times New Roman" w:cs="Times New Roman" w:eastAsia="Times New Roman"/>
      <w:b/>
    </w:rPr>
  </w:style>
  <w:style w:type="character" w:customStyle="1" w:styleId="ErrorTok">
    <w:name w:val="ErrorTok"/>
    <w:basedOn w:val="VerbatimChar"/>
    <w:rPr>
      <w:color w:val="ff0000"/>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33" Type="http://schemas.openxmlformats.org/officeDocument/2006/relationships/image" Target="media/rId33.png"/><Relationship Id="rId37" Type="http://schemas.openxmlformats.org/officeDocument/2006/relationships/image" Target="media/rId37.png"/><Relationship Id="rId39" Type="http://schemas.openxmlformats.org/officeDocument/2006/relationships/image" Target="media/rId39.png"/><Relationship Id="rId41" Type="http://schemas.openxmlformats.org/officeDocument/2006/relationships/image" Target="media/rId41.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51" Type="http://schemas.openxmlformats.org/officeDocument/2006/relationships/image" Target="media/rId51.png"/><Relationship Id="rId72" Type="http://schemas.openxmlformats.org/officeDocument/2006/relationships/image" Target="media/rId72.png"/><Relationship Id="rId25" Type="http://schemas.openxmlformats.org/officeDocument/2006/relationships/image" Target="media/rId25.png"/><Relationship Id="rId26" Type="http://schemas.openxmlformats.org/officeDocument/2006/relationships/image" Target="media/rId26.png"/><Relationship Id="rId27" Type="http://schemas.openxmlformats.org/officeDocument/2006/relationships/image" Target="media/rId27.png"/><Relationship Id="rId28" Type="http://schemas.openxmlformats.org/officeDocument/2006/relationships/image" Target="media/rId28.png"/><Relationship Id="rId30" Type="http://schemas.openxmlformats.org/officeDocument/2006/relationships/image" Target="media/rId30.png"/><Relationship Id="rId31" Type="http://schemas.openxmlformats.org/officeDocument/2006/relationships/image" Target="media/rId31.png"/><Relationship Id="rId34" Type="http://schemas.openxmlformats.org/officeDocument/2006/relationships/image" Target="media/rId34.png"/><Relationship Id="rId35" Type="http://schemas.openxmlformats.org/officeDocument/2006/relationships/image" Target="media/rId35.png"/><Relationship Id="rId36" Type="http://schemas.openxmlformats.org/officeDocument/2006/relationships/image" Target="media/rId36.png"/><Relationship Id="rId38" Type="http://schemas.openxmlformats.org/officeDocument/2006/relationships/image" Target="media/rId38.png"/><Relationship Id="rId40" Type="http://schemas.openxmlformats.org/officeDocument/2006/relationships/image" Target="media/rId40.png"/><Relationship Id="rId43" Type="http://schemas.openxmlformats.org/officeDocument/2006/relationships/image" Target="media/rId43.png"/><Relationship Id="rId44" Type="http://schemas.openxmlformats.org/officeDocument/2006/relationships/image" Target="media/rId44.png"/><Relationship Id="rId45" Type="http://schemas.openxmlformats.org/officeDocument/2006/relationships/image" Target="media/rId45.png"/><Relationship Id="rId47" Type="http://schemas.openxmlformats.org/officeDocument/2006/relationships/image" Target="media/rId47.png"/><Relationship Id="rId48" Type="http://schemas.openxmlformats.org/officeDocument/2006/relationships/image" Target="media/rId48.png"/><Relationship Id="rId58" Type="http://schemas.openxmlformats.org/officeDocument/2006/relationships/image" Target="media/rId58.png"/><Relationship Id="rId59" Type="http://schemas.openxmlformats.org/officeDocument/2006/relationships/image" Target="media/rId59.png"/><Relationship Id="rId60" Type="http://schemas.openxmlformats.org/officeDocument/2006/relationships/image" Target="media/rId60.png"/><Relationship Id="rId61" Type="http://schemas.openxmlformats.org/officeDocument/2006/relationships/image" Target="media/rId61.png"/><Relationship Id="rId62" Type="http://schemas.openxmlformats.org/officeDocument/2006/relationships/image" Target="media/rId62.png"/><Relationship Id="rId65" Type="http://schemas.openxmlformats.org/officeDocument/2006/relationships/image" Target="media/rId65.png"/><Relationship Id="rId66" Type="http://schemas.openxmlformats.org/officeDocument/2006/relationships/image" Target="media/rId66.png"/><Relationship Id="rId67" Type="http://schemas.openxmlformats.org/officeDocument/2006/relationships/image" Target="media/rId67.png"/><Relationship Id="rId68" Type="http://schemas.openxmlformats.org/officeDocument/2006/relationships/image" Target="media/rId68.png"/><Relationship Id="rId70" Type="http://schemas.openxmlformats.org/officeDocument/2006/relationships/image" Target="media/rId70.png"/><Relationship Id="rId71" Type="http://schemas.openxmlformats.org/officeDocument/2006/relationships/image" Target="media/rId71.png"/><Relationship Id="rId73" Type="http://schemas.openxmlformats.org/officeDocument/2006/relationships/image" Target="media/rId73.png"/><Relationship Id="rId74" Type="http://schemas.openxmlformats.org/officeDocument/2006/relationships/image" Target="media/rId74.png"/><Relationship Id="rId79" Type="http://schemas.openxmlformats.org/officeDocument/2006/relationships/image" Target="media/rId79.png"/><Relationship Id="rId82" Type="http://schemas.openxmlformats.org/officeDocument/2006/relationships/image" Target="media/rId82.png"/><Relationship Id="rId83" Type="http://schemas.openxmlformats.org/officeDocument/2006/relationships/image" Target="media/rId83.png"/><Relationship Id="rId84" Type="http://schemas.openxmlformats.org/officeDocument/2006/relationships/image" Target="media/rId84.png"/><Relationship Id="rId85" Type="http://schemas.openxmlformats.org/officeDocument/2006/relationships/image" Target="media/rId85.png"/><Relationship Id="rId86" Type="http://schemas.openxmlformats.org/officeDocument/2006/relationships/image" Target="media/rId86.png"/><Relationship Id="rId88" Type="http://schemas.openxmlformats.org/officeDocument/2006/relationships/image" Target="media/rId88.png"/><Relationship Id="rId90" Type="http://schemas.openxmlformats.org/officeDocument/2006/relationships/image" Target="media/rId90.png"/><Relationship Id="rId91" Type="http://schemas.openxmlformats.org/officeDocument/2006/relationships/image" Target="media/rId91.png"/><Relationship Id="rId92" Type="http://schemas.openxmlformats.org/officeDocument/2006/relationships/image" Target="media/rId92.png"/><Relationship Id="rId95" Type="http://schemas.openxmlformats.org/officeDocument/2006/relationships/image" Target="media/rId95.png"/><Relationship Id="rId96" Type="http://schemas.openxmlformats.org/officeDocument/2006/relationships/image" Target="media/rId96.png"/><Relationship Id="rId97" Type="http://schemas.openxmlformats.org/officeDocument/2006/relationships/image" Target="media/rId97.png"/><Relationship Id="rId98" Type="http://schemas.openxmlformats.org/officeDocument/2006/relationships/image" Target="media/rId98.png"/><Relationship Id="rId100" Type="http://schemas.openxmlformats.org/officeDocument/2006/relationships/image" Target="media/rId100.png"/><Relationship Id="rId101" Type="http://schemas.openxmlformats.org/officeDocument/2006/relationships/image" Target="media/rId101.png"/><Relationship Id="rId102" Type="http://schemas.openxmlformats.org/officeDocument/2006/relationships/image" Target="media/rId102.png"/><Relationship Id="rId103" Type="http://schemas.openxmlformats.org/officeDocument/2006/relationships/image" Target="media/rId103.png"/><Relationship Id="rId104" Type="http://schemas.openxmlformats.org/officeDocument/2006/relationships/image" Target="media/rId104.png"/><Relationship Id="rId105" Type="http://schemas.openxmlformats.org/officeDocument/2006/relationships/image" Target="media/rId105.png"/><Relationship Id="rId107" Type="http://schemas.openxmlformats.org/officeDocument/2006/relationships/image" Target="media/rId107.png"/><Relationship Id="rId108" Type="http://schemas.openxmlformats.org/officeDocument/2006/relationships/image" Target="media/rId108.png"/><Relationship Id="rId109" Type="http://schemas.openxmlformats.org/officeDocument/2006/relationships/image" Target="media/rId109.png"/><Relationship Id="rId110" Type="http://schemas.openxmlformats.org/officeDocument/2006/relationships/image" Target="media/rId110.png"/><Relationship Id="rId118" Type="http://schemas.openxmlformats.org/officeDocument/2006/relationships/image" Target="media/rId118.png"/><Relationship Id="rId119" Type="http://schemas.openxmlformats.org/officeDocument/2006/relationships/image" Target="media/rId119.png"/><Relationship Id="rId120" Type="http://schemas.openxmlformats.org/officeDocument/2006/relationships/image" Target="media/rId120.png"/><Relationship Id="rId121" Type="http://schemas.openxmlformats.org/officeDocument/2006/relationships/image" Target="media/rId121.png"/><Relationship Id="rId122" Type="http://schemas.openxmlformats.org/officeDocument/2006/relationships/image" Target="media/rId122.png"/><Relationship Id="rId123" Type="http://schemas.openxmlformats.org/officeDocument/2006/relationships/image" Target="media/rId123.png"/><Relationship Id="rId124" Type="http://schemas.openxmlformats.org/officeDocument/2006/relationships/image" Target="media/rId124.png"/><Relationship Id="rId125" Type="http://schemas.openxmlformats.org/officeDocument/2006/relationships/image" Target="media/rId125.png"/><Relationship Id="rId126" Type="http://schemas.openxmlformats.org/officeDocument/2006/relationships/image" Target="media/rId126.png"/><Relationship Id="rId127" Type="http://schemas.openxmlformats.org/officeDocument/2006/relationships/image" Target="media/rId127.png"/><Relationship Id="rId128" Type="http://schemas.openxmlformats.org/officeDocument/2006/relationships/image" Target="media/rId128.png"/><Relationship Id="rId129" Type="http://schemas.openxmlformats.org/officeDocument/2006/relationships/image" Target="media/rId129.png"/><Relationship Id="rId130" Type="http://schemas.openxmlformats.org/officeDocument/2006/relationships/image" Target="media/rId130.png"/><Relationship Id="rId133" Type="http://schemas.openxmlformats.org/officeDocument/2006/relationships/image" Target="media/rId133.png"/><Relationship Id="rId134" Type="http://schemas.openxmlformats.org/officeDocument/2006/relationships/image" Target="media/rId134.png"/><Relationship Id="rId135" Type="http://schemas.openxmlformats.org/officeDocument/2006/relationships/image" Target="media/rId135.png"/><Relationship Id="rId136" Type="http://schemas.openxmlformats.org/officeDocument/2006/relationships/image" Target="media/rId136.png"/><Relationship Id="rId137" Type="http://schemas.openxmlformats.org/officeDocument/2006/relationships/image" Target="media/rId137.png"/><Relationship Id="rId138" Type="http://schemas.openxmlformats.org/officeDocument/2006/relationships/image" Target="media/rId138.png"/><Relationship Id="rId139" Type="http://schemas.openxmlformats.org/officeDocument/2006/relationships/image" Target="media/rId139.png"/><Relationship Id="rId140" Type="http://schemas.openxmlformats.org/officeDocument/2006/relationships/image" Target="media/rId140.png"/><Relationship Id="rId141" Type="http://schemas.openxmlformats.org/officeDocument/2006/relationships/image" Target="media/rId141.png"/><Relationship Id="rId142" Type="http://schemas.openxmlformats.org/officeDocument/2006/relationships/image" Target="media/rId142.png"/><Relationship Id="rId143" Type="http://schemas.openxmlformats.org/officeDocument/2006/relationships/image" Target="media/rId143.png"/><Relationship Id="rId146" Type="http://schemas.openxmlformats.org/officeDocument/2006/relationships/image" Target="media/rId146.png"/><Relationship Id="rId147" Type="http://schemas.openxmlformats.org/officeDocument/2006/relationships/image" Target="media/rId147.png"/><Relationship Id="rId148" Type="http://schemas.openxmlformats.org/officeDocument/2006/relationships/image" Target="media/rId148.png"/><Relationship Id="rId149" Type="http://schemas.openxmlformats.org/officeDocument/2006/relationships/image" Target="media/rId149.png"/><Relationship Id="rId150" Type="http://schemas.openxmlformats.org/officeDocument/2006/relationships/image" Target="media/rId150.png"/><Relationship Id="rId151" Type="http://schemas.openxmlformats.org/officeDocument/2006/relationships/image" Target="media/rId151.png"/><Relationship Id="rId162" Type="http://schemas.openxmlformats.org/officeDocument/2006/relationships/image" Target="media/rId162.png"/><Relationship Id="rId163" Type="http://schemas.openxmlformats.org/officeDocument/2006/relationships/image" Target="media/rId163.png"/><Relationship Id="rId164" Type="http://schemas.openxmlformats.org/officeDocument/2006/relationships/image" Target="media/rId164.png"/><Relationship Id="rId170" Type="http://schemas.openxmlformats.org/officeDocument/2006/relationships/image" Target="media/rId170.png"/><Relationship Id="rId172" Type="http://schemas.openxmlformats.org/officeDocument/2006/relationships/image" Target="media/rId172.png"/><Relationship Id="rId173" Type="http://schemas.openxmlformats.org/officeDocument/2006/relationships/image" Target="media/rId173.png"/><Relationship Id="rId174" Type="http://schemas.openxmlformats.org/officeDocument/2006/relationships/image" Target="media/rId174.png"/><Relationship Id="rId175" Type="http://schemas.openxmlformats.org/officeDocument/2006/relationships/image" Target="media/rId175.png"/><Relationship Id="rId176" Type="http://schemas.openxmlformats.org/officeDocument/2006/relationships/image" Target="media/rId176.png"/><Relationship Id="rId189" Type="http://schemas.openxmlformats.org/officeDocument/2006/relationships/image" Target="media/rId189.png"/><Relationship Id="rId190" Type="http://schemas.openxmlformats.org/officeDocument/2006/relationships/image" Target="media/rId190.png"/><Relationship Id="rId191" Type="http://schemas.openxmlformats.org/officeDocument/2006/relationships/image" Target="media/rId191.png"/><Relationship Id="rId195" Type="http://schemas.openxmlformats.org/officeDocument/2006/relationships/image" Target="media/rId195.png"/><Relationship Id="rId196" Type="http://schemas.openxmlformats.org/officeDocument/2006/relationships/image" Target="media/rId196.png"/><Relationship Id="rId197" Type="http://schemas.openxmlformats.org/officeDocument/2006/relationships/image" Target="media/rId197.png"/><Relationship Id="rId202" Type="http://schemas.openxmlformats.org/officeDocument/2006/relationships/image" Target="media/rId202.png"/><Relationship Id="rId205" Type="http://schemas.openxmlformats.org/officeDocument/2006/relationships/image" Target="media/rId205.png"/><Relationship Id="rId206" Type="http://schemas.openxmlformats.org/officeDocument/2006/relationships/image" Target="media/rId206.png"/><Relationship Id="rId207" Type="http://schemas.openxmlformats.org/officeDocument/2006/relationships/image" Target="media/rId207.png"/><Relationship Id="rId210" Type="http://schemas.openxmlformats.org/officeDocument/2006/relationships/image" Target="media/rId210.png"/><Relationship Id="rId211" Type="http://schemas.openxmlformats.org/officeDocument/2006/relationships/image" Target="media/rId211.png"/><Relationship Id="rId212" Type="http://schemas.openxmlformats.org/officeDocument/2006/relationships/image" Target="media/rId212.png"/><Relationship Id="rId213" Type="http://schemas.openxmlformats.org/officeDocument/2006/relationships/image" Target="media/rId213.png"/><Relationship Id="rId214" Type="http://schemas.openxmlformats.org/officeDocument/2006/relationships/image" Target="media/rId214.png"/><Relationship Id="rId215" Type="http://schemas.openxmlformats.org/officeDocument/2006/relationships/image" Target="media/rId215.png"/><Relationship Id="rId216" Type="http://schemas.openxmlformats.org/officeDocument/2006/relationships/image" Target="media/rId216.png"/><Relationship Id="rId217" Type="http://schemas.openxmlformats.org/officeDocument/2006/relationships/image" Target="media/rId217.png"/><Relationship Id="rId220" Type="http://schemas.openxmlformats.org/officeDocument/2006/relationships/image" Target="media/rId220.png"/><Relationship Id="rId221" Type="http://schemas.openxmlformats.org/officeDocument/2006/relationships/image" Target="media/rId221.png"/><Relationship Id="rId222" Type="http://schemas.openxmlformats.org/officeDocument/2006/relationships/image" Target="media/rId222.png"/><Relationship Id="rId223" Type="http://schemas.openxmlformats.org/officeDocument/2006/relationships/image" Target="media/rId223.png"/><Relationship Id="rId224" Type="http://schemas.openxmlformats.org/officeDocument/2006/relationships/image" Target="media/rId224.png"/><Relationship Id="rId225" Type="http://schemas.openxmlformats.org/officeDocument/2006/relationships/image" Target="media/rId225.png"/><Relationship Id="rId226" Type="http://schemas.openxmlformats.org/officeDocument/2006/relationships/image" Target="media/rId226.png"/><Relationship Id="rId227" Type="http://schemas.openxmlformats.org/officeDocument/2006/relationships/image" Target="media/rId227.png"/><Relationship Id="rId230" Type="http://schemas.openxmlformats.org/officeDocument/2006/relationships/image" Target="media/rId230.png"/><Relationship Id="rId231" Type="http://schemas.openxmlformats.org/officeDocument/2006/relationships/image" Target="media/rId231.png"/><Relationship Id="rId232" Type="http://schemas.openxmlformats.org/officeDocument/2006/relationships/image" Target="media/rId232.png"/><Relationship Id="rId233" Type="http://schemas.openxmlformats.org/officeDocument/2006/relationships/image" Target="media/rId233.png"/><Relationship Id="rId234" Type="http://schemas.openxmlformats.org/officeDocument/2006/relationships/image" Target="media/rId234.png"/><Relationship Id="rId235" Type="http://schemas.openxmlformats.org/officeDocument/2006/relationships/image" Target="media/rId235.png"/><Relationship Id="rId236" Type="http://schemas.openxmlformats.org/officeDocument/2006/relationships/image" Target="media/rId236.png"/><Relationship Id="rId237" Type="http://schemas.openxmlformats.org/officeDocument/2006/relationships/image" Target="media/rId237.png"/><Relationship Id="rId238" Type="http://schemas.openxmlformats.org/officeDocument/2006/relationships/image" Target="media/rId238.png"/><Relationship Id="rId239" Type="http://schemas.openxmlformats.org/officeDocument/2006/relationships/image" Target="media/rId239.png"/><Relationship Id="rId240" Type="http://schemas.openxmlformats.org/officeDocument/2006/relationships/image" Target="media/rId240.png"/><Relationship Id="rId241" Type="http://schemas.openxmlformats.org/officeDocument/2006/relationships/image" Target="media/rId241.png"/><Relationship Id="rId244" Type="http://schemas.openxmlformats.org/officeDocument/2006/relationships/image" Target="media/rId244.png"/><Relationship Id="rId245" Type="http://schemas.openxmlformats.org/officeDocument/2006/relationships/image" Target="media/rId245.png"/><Relationship Id="rId246" Type="http://schemas.openxmlformats.org/officeDocument/2006/relationships/image" Target="media/rId246.png"/><Relationship Id="rId247" Type="http://schemas.openxmlformats.org/officeDocument/2006/relationships/image" Target="media/rId247.png"/><Relationship Id="rId248" Type="http://schemas.openxmlformats.org/officeDocument/2006/relationships/image" Target="media/rId248.png"/><Relationship Id="rId249" Type="http://schemas.openxmlformats.org/officeDocument/2006/relationships/image" Target="media/rId249.png"/><Relationship Id="rId250" Type="http://schemas.openxmlformats.org/officeDocument/2006/relationships/image" Target="media/rId250.png"/><Relationship Id="rId251" Type="http://schemas.openxmlformats.org/officeDocument/2006/relationships/image" Target="media/rId251.png"/><Relationship Id="rId252" Type="http://schemas.openxmlformats.org/officeDocument/2006/relationships/image" Target="media/rId252.png"/><Relationship Id="rId253" Type="http://schemas.openxmlformats.org/officeDocument/2006/relationships/image" Target="media/rId253.png"/><Relationship Id="rId254" Type="http://schemas.openxmlformats.org/officeDocument/2006/relationships/image" Target="media/rId254.png"/><Relationship Id="rId257" Type="http://schemas.openxmlformats.org/officeDocument/2006/relationships/image" Target="media/rId257.png"/><Relationship Id="rId260" Type="http://schemas.openxmlformats.org/officeDocument/2006/relationships/image" Target="media/rId260.png"/><Relationship Id="rId261" Type="http://schemas.openxmlformats.org/officeDocument/2006/relationships/image" Target="media/rId261.png"/><Relationship Id="rId265" Type="http://schemas.openxmlformats.org/officeDocument/2006/relationships/image" Target="media/rId265.png"/><Relationship Id="rId266" Type="http://schemas.openxmlformats.org/officeDocument/2006/relationships/image" Target="media/rId266.png"/><Relationship Id="rId267" Type="http://schemas.openxmlformats.org/officeDocument/2006/relationships/image" Target="media/rId267.png"/><Relationship Id="rId268" Type="http://schemas.openxmlformats.org/officeDocument/2006/relationships/image" Target="media/rId268.png"/><Relationship Id="rId269" Type="http://schemas.openxmlformats.org/officeDocument/2006/relationships/image" Target="media/rId269.png"/><Relationship Id="rId271" Type="http://schemas.openxmlformats.org/officeDocument/2006/relationships/image" Target="media/rId271.png"/><Relationship Id="rId274" Type="http://schemas.openxmlformats.org/officeDocument/2006/relationships/image" Target="media/rId274.png"/><Relationship Id="rId275" Type="http://schemas.openxmlformats.org/officeDocument/2006/relationships/image" Target="media/rId275.png"/><Relationship Id="rId276" Type="http://schemas.openxmlformats.org/officeDocument/2006/relationships/image" Target="media/rId276.png"/><Relationship Id="rId277" Type="http://schemas.openxmlformats.org/officeDocument/2006/relationships/image" Target="media/rId277.png"/><Relationship Id="rId278" Type="http://schemas.openxmlformats.org/officeDocument/2006/relationships/image" Target="media/rId278.png"/><Relationship Id="rId279" Type="http://schemas.openxmlformats.org/officeDocument/2006/relationships/image" Target="media/rId279.png"/><Relationship Id="rId280" Type="http://schemas.openxmlformats.org/officeDocument/2006/relationships/image" Target="media/rId280.png"/><Relationship Id="rId283" Type="http://schemas.openxmlformats.org/officeDocument/2006/relationships/image" Target="media/rId283.png"/><Relationship Id="rId284" Type="http://schemas.openxmlformats.org/officeDocument/2006/relationships/image" Target="media/rId284.png"/><Relationship Id="rId287" Type="http://schemas.openxmlformats.org/officeDocument/2006/relationships/image" Target="media/rId287.png"/><Relationship Id="rId288" Type="http://schemas.openxmlformats.org/officeDocument/2006/relationships/image" Target="media/rId288.png"/><Relationship Id="rId289" Type="http://schemas.openxmlformats.org/officeDocument/2006/relationships/image" Target="media/rId289.png"/><Relationship Id="rId290" Type="http://schemas.openxmlformats.org/officeDocument/2006/relationships/image" Target="media/rId290.png"/><Relationship Id="rId291" Type="http://schemas.openxmlformats.org/officeDocument/2006/relationships/image" Target="media/rId291.png"/><Relationship Id="rId292" Type="http://schemas.openxmlformats.org/officeDocument/2006/relationships/image" Target="media/rId292.png"/><Relationship Id="rId298" Type="http://schemas.openxmlformats.org/officeDocument/2006/relationships/image" Target="media/rId298.png"/><Relationship Id="rId301" Type="http://schemas.openxmlformats.org/officeDocument/2006/relationships/image" Target="media/rId301.png"/><Relationship Id="rId302" Type="http://schemas.openxmlformats.org/officeDocument/2006/relationships/image" Target="media/rId302.png"/><Relationship Id="rId307" Type="http://schemas.openxmlformats.org/officeDocument/2006/relationships/image" Target="media/rId307.png"/><Relationship Id="rId308" Type="http://schemas.openxmlformats.org/officeDocument/2006/relationships/image" Target="media/rId308.png"/><Relationship Id="rId311" Type="http://schemas.openxmlformats.org/officeDocument/2006/relationships/image" Target="media/rId311.png"/><Relationship Id="rId312" Type="http://schemas.openxmlformats.org/officeDocument/2006/relationships/image" Target="media/rId312.png"/><Relationship Id="rId313" Type="http://schemas.openxmlformats.org/officeDocument/2006/relationships/image" Target="media/rId313.png"/><Relationship Id="rId314" Type="http://schemas.openxmlformats.org/officeDocument/2006/relationships/image" Target="media/rId314.png"/><Relationship Id="rId318" Type="http://schemas.openxmlformats.org/officeDocument/2006/relationships/image" Target="media/rId318.png"/><Relationship Id="rId319" Type="http://schemas.openxmlformats.org/officeDocument/2006/relationships/image" Target="media/rId319.png"/><Relationship Id="rId320" Type="http://schemas.openxmlformats.org/officeDocument/2006/relationships/image" Target="media/rId320.png"/><Relationship Id="rId321" Type="http://schemas.openxmlformats.org/officeDocument/2006/relationships/image" Target="media/rId321.png"/><Relationship Id="rId322" Type="http://schemas.openxmlformats.org/officeDocument/2006/relationships/image" Target="media/rId322.png"/><Relationship Id="rId323" Type="http://schemas.openxmlformats.org/officeDocument/2006/relationships/image" Target="media/rId323.png"/><Relationship Id="rId327" Type="http://schemas.openxmlformats.org/officeDocument/2006/relationships/image" Target="media/rId327.png"/><Relationship Id="rId328" Type="http://schemas.openxmlformats.org/officeDocument/2006/relationships/image" Target="media/rId328.png"/><Relationship Id="rId329" Type="http://schemas.openxmlformats.org/officeDocument/2006/relationships/image" Target="media/rId329.png"/><Relationship Id="rId330" Type="http://schemas.openxmlformats.org/officeDocument/2006/relationships/image" Target="media/rId330.png"/><Relationship Id="rId331" Type="http://schemas.openxmlformats.org/officeDocument/2006/relationships/image" Target="media/rId331.png"/><Relationship Id="rId332" Type="http://schemas.openxmlformats.org/officeDocument/2006/relationships/image" Target="media/rId332.png"/><Relationship Id="rId333" Type="http://schemas.openxmlformats.org/officeDocument/2006/relationships/image" Target="media/rId333.png"/><Relationship Id="rId334" Type="http://schemas.openxmlformats.org/officeDocument/2006/relationships/image" Target="media/rId334.png"/><Relationship Id="rId335" Type="http://schemas.openxmlformats.org/officeDocument/2006/relationships/image" Target="media/rId335.png"/><Relationship Id="rId336" Type="http://schemas.openxmlformats.org/officeDocument/2006/relationships/image" Target="media/rId336.png"/><Relationship Id="rId337" Type="http://schemas.openxmlformats.org/officeDocument/2006/relationships/image" Target="media/rId337.png"/><Relationship Id="rId338" Type="http://schemas.openxmlformats.org/officeDocument/2006/relationships/image" Target="media/rId338.png"/><Relationship Id="rId339" Type="http://schemas.openxmlformats.org/officeDocument/2006/relationships/image" Target="media/rId339.png"/><Relationship Id="rId340" Type="http://schemas.openxmlformats.org/officeDocument/2006/relationships/image" Target="media/rId340.png"/><Relationship Id="rId344" Type="http://schemas.openxmlformats.org/officeDocument/2006/relationships/image" Target="media/rId344.png"/><Relationship Id="rId345" Type="http://schemas.openxmlformats.org/officeDocument/2006/relationships/image" Target="media/rId345.png"/><Relationship Id="rId346" Type="http://schemas.openxmlformats.org/officeDocument/2006/relationships/image" Target="media/rId346.png"/><Relationship Id="rId347" Type="http://schemas.openxmlformats.org/officeDocument/2006/relationships/image" Target="media/rId347.png"/><Relationship Id="rId348" Type="http://schemas.openxmlformats.org/officeDocument/2006/relationships/image" Target="media/rId348.png"/><Relationship Id="rId349" Type="http://schemas.openxmlformats.org/officeDocument/2006/relationships/image" Target="media/rId349.png"/><Relationship Id="rId350" Type="http://schemas.openxmlformats.org/officeDocument/2006/relationships/image" Target="media/rId350.png"/><Relationship Id="rId351" Type="http://schemas.openxmlformats.org/officeDocument/2006/relationships/image" Target="media/rId351.png"/><Relationship Id="rId352" Type="http://schemas.openxmlformats.org/officeDocument/2006/relationships/image" Target="media/rId352.png"/><Relationship Id="rId353" Type="http://schemas.openxmlformats.org/officeDocument/2006/relationships/image" Target="media/rId353.png"/><Relationship Id="rId354" Type="http://schemas.openxmlformats.org/officeDocument/2006/relationships/image" Target="media/rId354.png"/><Relationship Id="rId355" Type="http://schemas.openxmlformats.org/officeDocument/2006/relationships/image" Target="media/rId355.png"/><Relationship Id="rId356" Type="http://schemas.openxmlformats.org/officeDocument/2006/relationships/image" Target="media/rId356.png"/><Relationship Id="rId360" Type="http://schemas.openxmlformats.org/officeDocument/2006/relationships/image" Target="media/rId360.png"/><Relationship Id="rId361" Type="http://schemas.openxmlformats.org/officeDocument/2006/relationships/image" Target="media/rId361.png"/><Relationship Id="rId362" Type="http://schemas.openxmlformats.org/officeDocument/2006/relationships/image" Target="media/rId362.png"/><Relationship Id="rId363" Type="http://schemas.openxmlformats.org/officeDocument/2006/relationships/image" Target="media/rId363.png"/><Relationship Id="rId364" Type="http://schemas.openxmlformats.org/officeDocument/2006/relationships/image" Target="media/rId364.png"/><Relationship Id="rId365" Type="http://schemas.openxmlformats.org/officeDocument/2006/relationships/image" Target="media/rId365.png"/><Relationship Id="rId366" Type="http://schemas.openxmlformats.org/officeDocument/2006/relationships/image" Target="media/rId366.png"/><Relationship Id="rId367" Type="http://schemas.openxmlformats.org/officeDocument/2006/relationships/image" Target="media/rId367.png"/><Relationship Id="rId368" Type="http://schemas.openxmlformats.org/officeDocument/2006/relationships/image" Target="media/rId368.png"/><Relationship Id="rId369" Type="http://schemas.openxmlformats.org/officeDocument/2006/relationships/image" Target="media/rId369.png"/><Relationship Id="rId373" Type="http://schemas.openxmlformats.org/officeDocument/2006/relationships/image" Target="media/rId373.png"/><Relationship Id="rId374" Type="http://schemas.openxmlformats.org/officeDocument/2006/relationships/image" Target="media/rId374.png"/><Relationship Id="rId375" Type="http://schemas.openxmlformats.org/officeDocument/2006/relationships/image" Target="media/rId375.png"/><Relationship Id="rId376" Type="http://schemas.openxmlformats.org/officeDocument/2006/relationships/image" Target="media/rId376.png"/><Relationship Id="rId377" Type="http://schemas.openxmlformats.org/officeDocument/2006/relationships/image" Target="media/rId377.png"/><Relationship Id="rId378" Type="http://schemas.openxmlformats.org/officeDocument/2006/relationships/image" Target="media/rId378.png"/><Relationship Id="rId379" Type="http://schemas.openxmlformats.org/officeDocument/2006/relationships/image" Target="media/rId379.png"/><Relationship Id="rId380" Type="http://schemas.openxmlformats.org/officeDocument/2006/relationships/image" Target="media/rId380.png"/><Relationship Id="rId381" Type="http://schemas.openxmlformats.org/officeDocument/2006/relationships/image" Target="media/rId381.png"/><Relationship Id="rId382" Type="http://schemas.openxmlformats.org/officeDocument/2006/relationships/image" Target="media/rId382.png"/><Relationship Id="rId383" Type="http://schemas.openxmlformats.org/officeDocument/2006/relationships/image" Target="media/rId383.png"/><Relationship Id="rId384" Type="http://schemas.openxmlformats.org/officeDocument/2006/relationships/image" Target="media/rId384.png"/><Relationship Id="rId385" Type="http://schemas.openxmlformats.org/officeDocument/2006/relationships/image" Target="media/rId385.png"/><Relationship Id="rId386" Type="http://schemas.openxmlformats.org/officeDocument/2006/relationships/image" Target="media/rId386.png"/><Relationship Id="rId389" Type="http://schemas.openxmlformats.org/officeDocument/2006/relationships/image" Target="media/rId389.png"/><Relationship Id="rId390" Type="http://schemas.openxmlformats.org/officeDocument/2006/relationships/image" Target="media/rId390.png"/><Relationship Id="rId391" Type="http://schemas.openxmlformats.org/officeDocument/2006/relationships/image" Target="media/rId391.png"/><Relationship Id="rId392" Type="http://schemas.openxmlformats.org/officeDocument/2006/relationships/image" Target="media/rId392.png"/><Relationship Id="rId393" Type="http://schemas.openxmlformats.org/officeDocument/2006/relationships/image" Target="media/rId393.png"/><Relationship Id="rId394" Type="http://schemas.openxmlformats.org/officeDocument/2006/relationships/image" Target="media/rId394.png"/><Relationship Id="rId395" Type="http://schemas.openxmlformats.org/officeDocument/2006/relationships/image" Target="media/rId395.png"/><Relationship Id="rId396" Type="http://schemas.openxmlformats.org/officeDocument/2006/relationships/image" Target="media/rId396.png"/><Relationship Id="rId397" Type="http://schemas.openxmlformats.org/officeDocument/2006/relationships/image" Target="media/rId397.png"/><Relationship Id="rId398" Type="http://schemas.openxmlformats.org/officeDocument/2006/relationships/image" Target="media/rId398.png"/><Relationship Id="rId399" Type="http://schemas.openxmlformats.org/officeDocument/2006/relationships/image" Target="media/rId399.png"/><Relationship Id="rId400" Type="http://schemas.openxmlformats.org/officeDocument/2006/relationships/image" Target="media/rId400.png"/><Relationship Id="rId401" Type="http://schemas.openxmlformats.org/officeDocument/2006/relationships/image" Target="media/rId401.png"/><Relationship Id="rId402" Type="http://schemas.openxmlformats.org/officeDocument/2006/relationships/image" Target="media/rId402.png"/><Relationship Id="rId403" Type="http://schemas.openxmlformats.org/officeDocument/2006/relationships/image" Target="media/rId403.png"/><Relationship Id="rId404" Type="http://schemas.openxmlformats.org/officeDocument/2006/relationships/image" Target="media/rId404.png"/><Relationship Id="rId408" Type="http://schemas.openxmlformats.org/officeDocument/2006/relationships/image" Target="media/rId408.png"/><Relationship Id="rId409" Type="http://schemas.openxmlformats.org/officeDocument/2006/relationships/image" Target="media/rId409.png"/><Relationship Id="rId410" Type="http://schemas.openxmlformats.org/officeDocument/2006/relationships/image" Target="media/rId410.png"/><Relationship Id="rId411" Type="http://schemas.openxmlformats.org/officeDocument/2006/relationships/image" Target="media/rId411.png"/><Relationship Id="rId412" Type="http://schemas.openxmlformats.org/officeDocument/2006/relationships/image" Target="media/rId412.png"/><Relationship Id="rId413" Type="http://schemas.openxmlformats.org/officeDocument/2006/relationships/image" Target="media/rId413.png"/><Relationship Id="rId414" Type="http://schemas.openxmlformats.org/officeDocument/2006/relationships/image" Target="media/rId414.png"/><Relationship Id="rId415" Type="http://schemas.openxmlformats.org/officeDocument/2006/relationships/image" Target="media/rId415.png"/><Relationship Id="rId416" Type="http://schemas.openxmlformats.org/officeDocument/2006/relationships/image" Target="media/rId416.png"/><Relationship Id="rId417" Type="http://schemas.openxmlformats.org/officeDocument/2006/relationships/image" Target="media/rId417.png"/><Relationship Id="rId418" Type="http://schemas.openxmlformats.org/officeDocument/2006/relationships/image" Target="media/rId418.png"/><Relationship Id="rId419" Type="http://schemas.openxmlformats.org/officeDocument/2006/relationships/image" Target="media/rId419.png"/><Relationship Id="rId422" Type="http://schemas.openxmlformats.org/officeDocument/2006/relationships/image" Target="media/rId422.png"/><Relationship Id="rId423" Type="http://schemas.openxmlformats.org/officeDocument/2006/relationships/image" Target="media/rId423.png"/><Relationship Id="rId424" Type="http://schemas.openxmlformats.org/officeDocument/2006/relationships/image" Target="media/rId424.png"/><Relationship Id="rId425" Type="http://schemas.openxmlformats.org/officeDocument/2006/relationships/image" Target="media/rId425.png"/><Relationship Id="rId426" Type="http://schemas.openxmlformats.org/officeDocument/2006/relationships/image" Target="media/rId426.png"/><Relationship Id="rId427" Type="http://schemas.openxmlformats.org/officeDocument/2006/relationships/image" Target="media/rId427.png"/><Relationship Id="rId428" Type="http://schemas.openxmlformats.org/officeDocument/2006/relationships/image" Target="media/rId428.png"/><Relationship Id="rId429" Type="http://schemas.openxmlformats.org/officeDocument/2006/relationships/image" Target="media/rId429.png"/><Relationship Id="rId430" Type="http://schemas.openxmlformats.org/officeDocument/2006/relationships/image" Target="media/rId430.png"/><Relationship Id="rId431" Type="http://schemas.openxmlformats.org/officeDocument/2006/relationships/image" Target="media/rId431.png"/><Relationship Id="rId432" Type="http://schemas.openxmlformats.org/officeDocument/2006/relationships/image" Target="media/rId432.png"/><Relationship Id="rId433" Type="http://schemas.openxmlformats.org/officeDocument/2006/relationships/image" Target="media/rId433.png"/><Relationship Id="rId434" Type="http://schemas.openxmlformats.org/officeDocument/2006/relationships/image" Target="media/rId434.png"/><Relationship Id="rId437" Type="http://schemas.openxmlformats.org/officeDocument/2006/relationships/image" Target="media/rId437.png"/><Relationship Id="rId438" Type="http://schemas.openxmlformats.org/officeDocument/2006/relationships/image" Target="media/rId438.png"/><Relationship Id="rId439" Type="http://schemas.openxmlformats.org/officeDocument/2006/relationships/image" Target="media/rId439.png"/><Relationship Id="rId440" Type="http://schemas.openxmlformats.org/officeDocument/2006/relationships/image" Target="media/rId440.png"/><Relationship Id="rId441" Type="http://schemas.openxmlformats.org/officeDocument/2006/relationships/image" Target="media/rId441.png"/><Relationship Id="rId442" Type="http://schemas.openxmlformats.org/officeDocument/2006/relationships/image" Target="media/rId442.png"/><Relationship Id="rId443" Type="http://schemas.openxmlformats.org/officeDocument/2006/relationships/image" Target="media/rId443.png"/><Relationship Id="rId444" Type="http://schemas.openxmlformats.org/officeDocument/2006/relationships/image" Target="media/rId444.png"/><Relationship Id="rId445" Type="http://schemas.openxmlformats.org/officeDocument/2006/relationships/image" Target="media/rId445.png"/><Relationship Id="rId446" Type="http://schemas.openxmlformats.org/officeDocument/2006/relationships/image" Target="media/rId446.png"/><Relationship Id="rId454" Type="http://schemas.openxmlformats.org/officeDocument/2006/relationships/image" Target="media/rId454.png"/><Relationship Id="rId460" Type="http://schemas.openxmlformats.org/officeDocument/2006/relationships/image" Target="media/rId460.png"/><Relationship Id="rId462" Type="http://schemas.openxmlformats.org/officeDocument/2006/relationships/image" Target="media/rId462.png"/><Relationship Id="rId466" Type="http://schemas.openxmlformats.org/officeDocument/2006/relationships/image" Target="media/rId466.png"/><Relationship Id="rId467" Type="http://schemas.openxmlformats.org/officeDocument/2006/relationships/image" Target="media/rId467.png"/><Relationship Id="rId477" Type="http://schemas.openxmlformats.org/officeDocument/2006/relationships/image" Target="media/rId477.png"/><Relationship Id="rId478" Type="http://schemas.openxmlformats.org/officeDocument/2006/relationships/image" Target="media/rId478.png"/><Relationship Id="rId499" Type="http://schemas.openxmlformats.org/officeDocument/2006/relationships/image" Target="media/rId499.png"/><Relationship Id="rId63" Type="http://schemas.openxmlformats.org/officeDocument/2006/relationships/image" Target="media/rId63.png"/><Relationship Id="rId55" Type="http://schemas.openxmlformats.org/officeDocument/2006/relationships/image" Target="media/rId55.png"/><Relationship Id="rId198" Type="http://schemas.openxmlformats.org/officeDocument/2006/relationships/image" Target="media/rId198.png"/><Relationship Id="rId56" Type="http://schemas.openxmlformats.org/officeDocument/2006/relationships/image" Target="media/rId56.png"/><Relationship Id="rId167" Type="http://schemas.openxmlformats.org/officeDocument/2006/relationships/image" Target="media/rId167.png"/><Relationship Id="rId484" Type="http://schemas.openxmlformats.org/officeDocument/2006/relationships/hyperlink" Target="https://api-v3.monarchinitiative.org/v3/api/entity/MONDO:0005081" TargetMode="External"/><Relationship Id="rId485" Type="http://schemas.openxmlformats.org/officeDocument/2006/relationships/hyperlink" Target="https://api-v3.monarchinitiative.org/v3/api/entity/MONDO:0005081/biolink:CorrelatedGeneToDiseaseAssociation?limit=20&amp;direct=true" TargetMode="External"/><Relationship Id="rId116" Type="http://schemas.openxmlformats.org/officeDocument/2006/relationships/hyperlink" Target="https://api.glygen.org/protein/detail/P07332-1" TargetMode="External"/><Relationship Id="rId492" Type="http://schemas.openxmlformats.org/officeDocument/2006/relationships/hyperlink" Target="https://bindingdb.org/rest/getLigandsByUniprots?uniprot=P07332&amp;cutoff=1000&amp;response=application%2Fjson" TargetMode="External"/><Relationship Id="rId450" Type="http://schemas.openxmlformats.org/officeDocument/2006/relationships/hyperlink" Target="https://cellxgene.cziscience.com/e/ecf2e08e-2032-4a9e-b466-b65b395f4a02.cxg/" TargetMode="External"/><Relationship Id="rId177" Type="http://schemas.openxmlformats.org/officeDocument/2006/relationships/hyperlink" Target="https://doi.org/10.1016/j.juro.2011.09.142" TargetMode="External"/><Relationship Id="rId505" Type="http://schemas.openxmlformats.org/officeDocument/2006/relationships/hyperlink" Target="https://doi.org/10.1038/s41380-025-03068-z" TargetMode="External"/><Relationship Id="rId194" Type="http://schemas.openxmlformats.org/officeDocument/2006/relationships/hyperlink" Target="https://doi.org/10.1038/s41598-024-53874-8" TargetMode="External"/><Relationship Id="rId53" Type="http://schemas.openxmlformats.org/officeDocument/2006/relationships/hyperlink" Target="https://doi.org/10.1093/bioinformatics/btag159" TargetMode="External"/><Relationship Id="rId317" Type="http://schemas.openxmlformats.org/officeDocument/2006/relationships/hyperlink" Target="https://doi.org/10.1126/scitranslmed.aax4204" TargetMode="External"/><Relationship Id="rId144" Type="http://schemas.openxmlformats.org/officeDocument/2006/relationships/hyperlink" Target="https://doi.org/10.1161/atvbaha.125.323457" TargetMode="External"/><Relationship Id="rId343" Type="http://schemas.openxmlformats.org/officeDocument/2006/relationships/hyperlink" Target="https://doi.org/10.1172/jci.insight.183810" TargetMode="External"/><Relationship Id="rId201" Type="http://schemas.openxmlformats.org/officeDocument/2006/relationships/hyperlink" Target="https://doi.org/10.1186/s12967-024-05245-0" TargetMode="External"/><Relationship Id="rId504" Type="http://schemas.openxmlformats.org/officeDocument/2006/relationships/hyperlink" Target="https://doi.org/10.1186/s13048-025-01956-0" TargetMode="External"/><Relationship Id="rId503" Type="http://schemas.openxmlformats.org/officeDocument/2006/relationships/hyperlink" Target="https://doi.org/10.1371/journal.pone.0068991" TargetMode="External"/><Relationship Id="rId502" Type="http://schemas.openxmlformats.org/officeDocument/2006/relationships/hyperlink" Target="https://doi.org/10.1371/journal.pone.0161504" TargetMode="External"/><Relationship Id="rId506" Type="http://schemas.openxmlformats.org/officeDocument/2006/relationships/hyperlink" Target="https://doi.org/10.2147/IJWH.S618420" TargetMode="External"/><Relationship Id="rId501" Type="http://schemas.openxmlformats.org/officeDocument/2006/relationships/hyperlink" Target="https://doi.org/10.3389/fimmu.2025.1511529" TargetMode="External"/><Relationship Id="rId488" Type="http://schemas.openxmlformats.org/officeDocument/2006/relationships/hyperlink" Target="https://download.jensenlab.org/human_tissue_knowledge_full.tsv" TargetMode="External"/><Relationship Id="rId490" Type="http://schemas.openxmlformats.org/officeDocument/2006/relationships/hyperlink" Target="https://explore.data.humancellatlas.org/projects/ea9eec5a-4fc2-4c58-94d0-2fcb598732bc" TargetMode="External"/><Relationship Id="rId456" Type="http://schemas.openxmlformats.org/officeDocument/2006/relationships/hyperlink" Target="https://github.com/LinialLab/OTRec" TargetMode="External"/><Relationship Id="rId306" Type="http://schemas.openxmlformats.org/officeDocument/2006/relationships/hyperlink" Target="https://github.com/aegardella/cfRNA_MECFS" TargetMode="External"/><Relationship Id="rId458" Type="http://schemas.openxmlformats.org/officeDocument/2006/relationships/hyperlink" Target="https://github.com/cmbi/Benchmark_GNN_OpenTargets/" TargetMode="External"/><Relationship Id="rId115" Type="http://schemas.openxmlformats.org/officeDocument/2006/relationships/hyperlink" Target="https://glygen.org/protein/P07332-1" TargetMode="External"/><Relationship Id="rId184" Type="http://schemas.openxmlformats.org/officeDocument/2006/relationships/hyperlink" Target="https://journals.plos.org/plosone/article?id=10.1371/journal.pone.0068991" TargetMode="External"/><Relationship Id="rId183" Type="http://schemas.openxmlformats.org/officeDocument/2006/relationships/hyperlink" Target="https://journals.plos.org/plosone/article?id=10.1371/journal.pone.0161504" TargetMode="External"/><Relationship Id="rId186" Type="http://schemas.openxmlformats.org/officeDocument/2006/relationships/hyperlink" Target="https://link.springer.com/article/10.1186/s13048-025-01956-0" TargetMode="External"/><Relationship Id="rId296" Type="http://schemas.openxmlformats.org/officeDocument/2006/relationships/hyperlink" Target="https://pmc.ncbi.nlm.nih.gov/articles/PMC10592925/" TargetMode="External"/><Relationship Id="rId303" Type="http://schemas.openxmlformats.org/officeDocument/2006/relationships/hyperlink" Target="https://pmc.ncbi.nlm.nih.gov/articles/PMC10881493/" TargetMode="External"/><Relationship Id="rId264" Type="http://schemas.openxmlformats.org/officeDocument/2006/relationships/hyperlink" Target="https://pmc.ncbi.nlm.nih.gov/articles/PMC12127534/" TargetMode="External"/><Relationship Id="rId305" Type="http://schemas.openxmlformats.org/officeDocument/2006/relationships/hyperlink" Target="https://pmc.ncbi.nlm.nih.gov/articles/PMC12377778/" TargetMode="External"/><Relationship Id="rId52" Type="http://schemas.openxmlformats.org/officeDocument/2006/relationships/hyperlink" Target="https://pmc.ncbi.nlm.nih.gov/articles/PMC13171177/" TargetMode="External"/><Relationship Id="rId243" Type="http://schemas.openxmlformats.org/officeDocument/2006/relationships/hyperlink" Target="https://pmc.ncbi.nlm.nih.gov/articles/PMC13240503/" TargetMode="External"/><Relationship Id="rId187" Type="http://schemas.openxmlformats.org/officeDocument/2006/relationships/hyperlink" Target="https://pmc.ncbi.nlm.nih.gov/articles/PMC13590264/" TargetMode="External"/><Relationship Id="rId297" Type="http://schemas.openxmlformats.org/officeDocument/2006/relationships/hyperlink" Target="https://pmc.ncbi.nlm.nih.gov/articles/PMC5849099/" TargetMode="External"/><Relationship Id="rId372" Type="http://schemas.openxmlformats.org/officeDocument/2006/relationships/hyperlink" Target="https://pubmed.ncbi.nlm.nih.gov/33246341/" TargetMode="External"/><Relationship Id="rId407" Type="http://schemas.openxmlformats.org/officeDocument/2006/relationships/hyperlink" Target="https://pubmed.ncbi.nlm.nih.gov/40715462/" TargetMode="External"/><Relationship Id="rId486" Type="http://schemas.openxmlformats.org/officeDocument/2006/relationships/hyperlink" Target="https://purl.obolibrary.org/obo/hp/hpoa/phenotype.hpoa" TargetMode="External"/><Relationship Id="rId468" Type="http://schemas.openxmlformats.org/officeDocument/2006/relationships/hyperlink" Target="https://raw.githubusercontent.com/adb258/cfrna_ai_manuscript/main/data/full%20pipeline/DONE_o3_MECFS_informed.zip" TargetMode="External"/><Relationship Id="rId465" Type="http://schemas.openxmlformats.org/officeDocument/2006/relationships/hyperlink" Target="https://raw.githubusercontent.com/adb258/cfrna_ai_manuscript/main/data/joined_df_MECFS.csv" TargetMode="External"/><Relationship Id="rId117" Type="http://schemas.openxmlformats.org/officeDocument/2006/relationships/hyperlink" Target="https://research.bioinformatics.udel.edu/iptmnet/entry/P07332/" TargetMode="External"/><Relationship Id="rId491" Type="http://schemas.openxmlformats.org/officeDocument/2006/relationships/hyperlink" Target="https://service.azul.data.humancellatlas.org/index/projects/ea9eec5a-4fc2-4c58-94d0-2fcb598732bc" TargetMode="External"/><Relationship Id="rId113" Type="http://schemas.openxmlformats.org/officeDocument/2006/relationships/hyperlink" Target="https://thebiogrid.org/108533/summary/homo-sapiens/fes.html" TargetMode="External"/><Relationship Id="rId114" Type="http://schemas.openxmlformats.org/officeDocument/2006/relationships/hyperlink" Target="https://thebiogrid.org/interaction/317111" TargetMode="External"/><Relationship Id="rId489" Type="http://schemas.openxmlformats.org/officeDocument/2006/relationships/hyperlink" Target="https://tissues.jensenlab.org/Downloads" TargetMode="External"/><Relationship Id="rId496" Type="http://schemas.openxmlformats.org/officeDocument/2006/relationships/hyperlink" Target="https://www.ebi.ac.uk/biosamples/samples/SAMN40568562" TargetMode="External"/><Relationship Id="rId22" Type="http://schemas.openxmlformats.org/officeDocument/2006/relationships/hyperlink" Target="https://www.ebi.ac.uk/biostudies/api/v1/studies/E-GEOD-4707" TargetMode="External"/><Relationship Id="rId497" Type="http://schemas.openxmlformats.org/officeDocument/2006/relationships/hyperlink" Target="https://www.ebi.ac.uk/ena/portal/api/search?result=read_run&amp;query=sample_accession%3D%22SAMN40568562%22&amp;fields=run_accession%2Csample_accession%2Cstudy_accession%2Cexperiment_accession%2Clibrary_strategy%2Cfastq_ftp&amp;format=json&amp;limit=10" TargetMode="External"/><Relationship Id="rId76" Type="http://schemas.openxmlformats.org/officeDocument/2006/relationships/hyperlink" Target="https://www.ebi.ac.uk/gwas/rest/api/efoTraits/MONDO_0005081/associations" TargetMode="External"/><Relationship Id="rId185" Type="http://schemas.openxmlformats.org/officeDocument/2006/relationships/hyperlink" Target="https://www.ebi.ac.uk/metabolights/ws/studies/MTBLS12367" TargetMode="External"/><Relationship Id="rId182" Type="http://schemas.openxmlformats.org/officeDocument/2006/relationships/hyperlink" Target="https://www.ebi.ac.uk/pride/ws/archive/v3/projects/PXD080843" TargetMode="External"/><Relationship Id="rId495" Type="http://schemas.openxmlformats.org/officeDocument/2006/relationships/hyperlink" Target="https://www.frontiersin.org/journals/endocrinology/articles/10.3389/fendo.2025.1576240/full" TargetMode="External"/><Relationship Id="rId180" Type="http://schemas.openxmlformats.org/officeDocument/2006/relationships/hyperlink" Target="https://www.frontiersin.org/journals/immunology/articles/10.3389/fimmu.2025.1511529/full" TargetMode="External"/><Relationship Id="rId359" Type="http://schemas.openxmlformats.org/officeDocument/2006/relationships/hyperlink" Target="https://www.frontiersin.org/journals/immunology/articles/10.3389/fimmu.2026.1823850/full" TargetMode="External"/><Relationship Id="rId482" Type="http://schemas.openxmlformats.org/officeDocument/2006/relationships/hyperlink" Target="https://www.kegg.jp/kegg/rest/keggapi.html" TargetMode="External"/><Relationship Id="rId181" Type="http://schemas.openxmlformats.org/officeDocument/2006/relationships/hyperlink" Target="https://www.nature.com/articles/s41380-025-03068-z" TargetMode="External"/><Relationship Id="rId471" Type="http://schemas.openxmlformats.org/officeDocument/2006/relationships/hyperlink" Target="https://www.nature.com/articles/s41398-026-03886-x" TargetMode="External"/><Relationship Id="rId464" Type="http://schemas.openxmlformats.org/officeDocument/2006/relationships/hyperlink" Target="https://www.nature.com/articles/s41467-026-74077-x" TargetMode="External"/><Relationship Id="rId326" Type="http://schemas.openxmlformats.org/officeDocument/2006/relationships/hyperlink" Target="https://www.nature.com/articles/s41590-025-02353-x" TargetMode="External"/><Relationship Id="rId273" Type="http://schemas.openxmlformats.org/officeDocument/2006/relationships/hyperlink" Target="https://www.nature.com/articles/s41598-020-72671-7/" TargetMode="External"/><Relationship Id="rId457" Type="http://schemas.openxmlformats.org/officeDocument/2006/relationships/hyperlink" Target="https://www.nature.com/articles/s41598-026-47765-3" TargetMode="External"/><Relationship Id="rId473" Type="http://schemas.openxmlformats.org/officeDocument/2006/relationships/hyperlink" Target="https://www.nature.com/articles/s41598-026-53455-x" TargetMode="External"/><Relationship Id="rId472" Type="http://schemas.openxmlformats.org/officeDocument/2006/relationships/hyperlink" Target="https://www.nature.com/articles/s43856-026-01854-6" TargetMode="External"/><Relationship Id="rId470" Type="http://schemas.openxmlformats.org/officeDocument/2006/relationships/hyperlink" Target="https://www.nature.com/articles/s44184-026-00232-3" TargetMode="External"/><Relationship Id="rId106" Type="http://schemas.openxmlformats.org/officeDocument/2006/relationships/hyperlink" Target="https://www.ncbi.nlm.nih.gov/geo/query/acc.cgi?acc=GSE114691" TargetMode="External"/><Relationship Id="rId316" Type="http://schemas.openxmlformats.org/officeDocument/2006/relationships/hyperlink" Target="https://www.ncbi.nlm.nih.gov/geo/query/acc.cgi?acc=GSE127831" TargetMode="External"/><Relationship Id="rId204" Type="http://schemas.openxmlformats.org/officeDocument/2006/relationships/hyperlink" Target="https://www.ncbi.nlm.nih.gov/geo/query/acc.cgi?acc=GSE143953" TargetMode="External"/><Relationship Id="rId209" Type="http://schemas.openxmlformats.org/officeDocument/2006/relationships/hyperlink" Target="https://www.ncbi.nlm.nih.gov/geo/query/acc.cgi?acc=GSE148241" TargetMode="External"/><Relationship Id="rId371" Type="http://schemas.openxmlformats.org/officeDocument/2006/relationships/hyperlink" Target="https://www.ncbi.nlm.nih.gov/geo/query/acc.cgi?acc=GSE153739" TargetMode="External"/><Relationship Id="rId219" Type="http://schemas.openxmlformats.org/officeDocument/2006/relationships/hyperlink" Target="https://www.ncbi.nlm.nih.gov/geo/query/acc.cgi?acc=GSE177049" TargetMode="External"/><Relationship Id="rId99" Type="http://schemas.openxmlformats.org/officeDocument/2006/relationships/hyperlink" Target="https://www.ncbi.nlm.nih.gov/geo/query/acc.cgi?acc=GSE186257" TargetMode="External"/><Relationship Id="rId94" Type="http://schemas.openxmlformats.org/officeDocument/2006/relationships/hyperlink" Target="https://www.ncbi.nlm.nih.gov/geo/query/acc.cgi?acc=GSE190971" TargetMode="External"/><Relationship Id="rId89" Type="http://schemas.openxmlformats.org/officeDocument/2006/relationships/hyperlink" Target="https://www.ncbi.nlm.nih.gov/geo/query/acc.cgi?acc=GSE192902" TargetMode="External"/><Relationship Id="rId200" Type="http://schemas.openxmlformats.org/officeDocument/2006/relationships/hyperlink" Target="https://www.ncbi.nlm.nih.gov/geo/query/acc.cgi?acc=GSE212787" TargetMode="External"/><Relationship Id="rId286" Type="http://schemas.openxmlformats.org/officeDocument/2006/relationships/hyperlink" Target="https://www.ncbi.nlm.nih.gov/geo/query/acc.cgi?acc=GSE214397" TargetMode="External"/><Relationship Id="rId272" Type="http://schemas.openxmlformats.org/officeDocument/2006/relationships/hyperlink" Target="https://www.ncbi.nlm.nih.gov/geo/query/acc.cgi?acc=GSE216638" TargetMode="External"/><Relationship Id="rId193" Type="http://schemas.openxmlformats.org/officeDocument/2006/relationships/hyperlink" Target="https://www.ncbi.nlm.nih.gov/geo/query/acc.cgi?acc=GSE221921" TargetMode="External"/><Relationship Id="rId325" Type="http://schemas.openxmlformats.org/officeDocument/2006/relationships/hyperlink" Target="https://www.ncbi.nlm.nih.gov/geo/query/acc.cgi?acc=GSE226260" TargetMode="External"/><Relationship Id="rId421" Type="http://schemas.openxmlformats.org/officeDocument/2006/relationships/hyperlink" Target="https://www.ncbi.nlm.nih.gov/geo/query/acc.cgi?acc=GSE229750" TargetMode="External"/><Relationship Id="rId388" Type="http://schemas.openxmlformats.org/officeDocument/2006/relationships/hyperlink" Target="https://www.ncbi.nlm.nih.gov/geo/query/acc.cgi?acc=GSE236402" TargetMode="External"/><Relationship Id="rId256" Type="http://schemas.openxmlformats.org/officeDocument/2006/relationships/hyperlink" Target="https://www.ncbi.nlm.nih.gov/geo/query/acc.cgi?acc=GSE238208" TargetMode="External"/><Relationship Id="rId295" Type="http://schemas.openxmlformats.org/officeDocument/2006/relationships/hyperlink" Target="https://www.ncbi.nlm.nih.gov/geo/query/acc.cgi?acc=GSE244827" TargetMode="External"/><Relationship Id="rId300" Type="http://schemas.openxmlformats.org/officeDocument/2006/relationships/hyperlink" Target="https://www.ncbi.nlm.nih.gov/geo/query/acc.cgi?acc=GSE245661" TargetMode="External"/><Relationship Id="rId259" Type="http://schemas.openxmlformats.org/officeDocument/2006/relationships/hyperlink" Target="https://www.ncbi.nlm.nih.gov/geo/query/acc.cgi?acc=GSE267287" TargetMode="External"/><Relationship Id="rId81" Type="http://schemas.openxmlformats.org/officeDocument/2006/relationships/hyperlink" Target="https://www.ncbi.nlm.nih.gov/geo/query/acc.cgi?acc=GSE272342" TargetMode="External"/><Relationship Id="rId342" Type="http://schemas.openxmlformats.org/officeDocument/2006/relationships/hyperlink" Target="https://www.ncbi.nlm.nih.gov/geo/query/acc.cgi?acc=GSE275334" TargetMode="External"/><Relationship Id="rId436" Type="http://schemas.openxmlformats.org/officeDocument/2006/relationships/hyperlink" Target="https://www.ncbi.nlm.nih.gov/geo/query/acc.cgi?acc=GSE279757" TargetMode="External"/><Relationship Id="rId178" Type="http://schemas.openxmlformats.org/officeDocument/2006/relationships/hyperlink" Target="https://www.ncbi.nlm.nih.gov/geo/query/acc.cgi?acc=GSE28242" TargetMode="External"/><Relationship Id="rId406" Type="http://schemas.openxmlformats.org/officeDocument/2006/relationships/hyperlink" Target="https://www.ncbi.nlm.nih.gov/geo/query/acc.cgi?acc=GSE284329" TargetMode="External"/><Relationship Id="rId169" Type="http://schemas.openxmlformats.org/officeDocument/2006/relationships/hyperlink" Target="https://www.ncbi.nlm.nih.gov/geo/query/acc.cgi?acc=GSE293353" TargetMode="External"/><Relationship Id="rId282" Type="http://schemas.openxmlformats.org/officeDocument/2006/relationships/hyperlink" Target="https://www.ncbi.nlm.nih.gov/geo/query/acc.cgi?acc=GSE293840" TargetMode="External"/><Relationship Id="rId263" Type="http://schemas.openxmlformats.org/officeDocument/2006/relationships/hyperlink" Target="https://www.ncbi.nlm.nih.gov/geo/query/acc.cgi?acc=GSE294074" TargetMode="External"/><Relationship Id="rId80" Type="http://schemas.openxmlformats.org/officeDocument/2006/relationships/hyperlink" Target="https://www.ncbi.nlm.nih.gov/geo/query/acc.cgi?acc=GSE295760" TargetMode="External"/><Relationship Id="rId132" Type="http://schemas.openxmlformats.org/officeDocument/2006/relationships/hyperlink" Target="https://www.ncbi.nlm.nih.gov/geo/query/acc.cgi?acc=GSE303463" TargetMode="External"/><Relationship Id="rId310" Type="http://schemas.openxmlformats.org/officeDocument/2006/relationships/hyperlink" Target="https://www.ncbi.nlm.nih.gov/geo/query/acc.cgi?acc=GSE313775" TargetMode="External"/><Relationship Id="rId358" Type="http://schemas.openxmlformats.org/officeDocument/2006/relationships/hyperlink" Target="https://www.ncbi.nlm.nih.gov/geo/query/acc.cgi?acc=GSE334857" TargetMode="External"/><Relationship Id="rId229" Type="http://schemas.openxmlformats.org/officeDocument/2006/relationships/hyperlink" Target="https://www.ncbi.nlm.nih.gov/geo/query/acc.cgi?acc=GSE44711" TargetMode="External"/><Relationship Id="rId294" Type="http://schemas.openxmlformats.org/officeDocument/2006/relationships/hyperlink" Target="https://www.ncbi.nlm.nih.gov/geo/query/acc.cgi?acc=GSE84796" TargetMode="External"/><Relationship Id="rId475" Type="http://schemas.openxmlformats.org/officeDocument/2006/relationships/hyperlink" Target="https://www.ncbi.nlm.nih.gov/geo/query/acc.cgi?acc=GSM8158605" TargetMode="External"/><Relationship Id="rId494" Type="http://schemas.openxmlformats.org/officeDocument/2006/relationships/hyperlink" Target="https://www.ncbi.nlm.nih.gov/geo/query/acc.cgi?acc=GSM8158605&amp;targ=self&amp;form=text&amp;view=full" TargetMode="External"/><Relationship Id="rId112" Type="http://schemas.openxmlformats.org/officeDocument/2006/relationships/hyperlink" Target="https://www.rcsb.org/structure/3BKB" TargetMode="External"/><Relationship Id="rId111" Type="http://schemas.openxmlformats.org/officeDocument/2006/relationships/hyperlink" Target="https://www.rcsb.org/structure/8XKP" TargetMode="External"/><Relationship Id="rId481" Type="http://schemas.openxmlformats.org/officeDocument/2006/relationships/hyperlink" Target="https://www.wikipathways.org/json/findPathwaysByText.json" TargetMode="External"/></Relationships>
</file>

<file path=word/_rels/footnotes.xml.rels><?xml version='1.0' encoding='UTF-8' standalone='yes'?>
<Relationships xmlns="http://schemas.openxmlformats.org/package/2006/relationships"><Relationship Id="rId484" Type="http://schemas.openxmlformats.org/officeDocument/2006/relationships/hyperlink" Target="https://api-v3.monarchinitiative.org/v3/api/entity/MONDO:0005081" TargetMode="External"/><Relationship Id="rId485" Type="http://schemas.openxmlformats.org/officeDocument/2006/relationships/hyperlink" Target="https://api-v3.monarchinitiative.org/v3/api/entity/MONDO:0005081/biolink:CorrelatedGeneToDiseaseAssociation?limit=20&amp;direct=true" TargetMode="External"/><Relationship Id="rId116" Type="http://schemas.openxmlformats.org/officeDocument/2006/relationships/hyperlink" Target="https://api.glygen.org/protein/detail/P07332-1" TargetMode="External"/><Relationship Id="rId492" Type="http://schemas.openxmlformats.org/officeDocument/2006/relationships/hyperlink" Target="https://bindingdb.org/rest/getLigandsByUniprots?uniprot=P07332&amp;cutoff=1000&amp;response=application%2Fjson" TargetMode="External"/><Relationship Id="rId450" Type="http://schemas.openxmlformats.org/officeDocument/2006/relationships/hyperlink" Target="https://cellxgene.cziscience.com/e/ecf2e08e-2032-4a9e-b466-b65b395f4a02.cxg/" TargetMode="External"/><Relationship Id="rId177" Type="http://schemas.openxmlformats.org/officeDocument/2006/relationships/hyperlink" Target="https://doi.org/10.1016/j.juro.2011.09.142" TargetMode="External"/><Relationship Id="rId505" Type="http://schemas.openxmlformats.org/officeDocument/2006/relationships/hyperlink" Target="https://doi.org/10.1038/s41380-025-03068-z" TargetMode="External"/><Relationship Id="rId194" Type="http://schemas.openxmlformats.org/officeDocument/2006/relationships/hyperlink" Target="https://doi.org/10.1038/s41598-024-53874-8" TargetMode="External"/><Relationship Id="rId53" Type="http://schemas.openxmlformats.org/officeDocument/2006/relationships/hyperlink" Target="https://doi.org/10.1093/bioinformatics/btag159" TargetMode="External"/><Relationship Id="rId317" Type="http://schemas.openxmlformats.org/officeDocument/2006/relationships/hyperlink" Target="https://doi.org/10.1126/scitranslmed.aax4204" TargetMode="External"/><Relationship Id="rId144" Type="http://schemas.openxmlformats.org/officeDocument/2006/relationships/hyperlink" Target="https://doi.org/10.1161/atvbaha.125.323457" TargetMode="External"/><Relationship Id="rId343" Type="http://schemas.openxmlformats.org/officeDocument/2006/relationships/hyperlink" Target="https://doi.org/10.1172/jci.insight.183810" TargetMode="External"/><Relationship Id="rId201" Type="http://schemas.openxmlformats.org/officeDocument/2006/relationships/hyperlink" Target="https://doi.org/10.1186/s12967-024-05245-0" TargetMode="External"/><Relationship Id="rId504" Type="http://schemas.openxmlformats.org/officeDocument/2006/relationships/hyperlink" Target="https://doi.org/10.1186/s13048-025-01956-0" TargetMode="External"/><Relationship Id="rId503" Type="http://schemas.openxmlformats.org/officeDocument/2006/relationships/hyperlink" Target="https://doi.org/10.1371/journal.pone.0068991" TargetMode="External"/><Relationship Id="rId502" Type="http://schemas.openxmlformats.org/officeDocument/2006/relationships/hyperlink" Target="https://doi.org/10.1371/journal.pone.0161504" TargetMode="External"/><Relationship Id="rId506" Type="http://schemas.openxmlformats.org/officeDocument/2006/relationships/hyperlink" Target="https://doi.org/10.2147/IJWH.S618420" TargetMode="External"/><Relationship Id="rId501" Type="http://schemas.openxmlformats.org/officeDocument/2006/relationships/hyperlink" Target="https://doi.org/10.3389/fimmu.2025.1511529" TargetMode="External"/><Relationship Id="rId488" Type="http://schemas.openxmlformats.org/officeDocument/2006/relationships/hyperlink" Target="https://download.jensenlab.org/human_tissue_knowledge_full.tsv" TargetMode="External"/><Relationship Id="rId490" Type="http://schemas.openxmlformats.org/officeDocument/2006/relationships/hyperlink" Target="https://explore.data.humancellatlas.org/projects/ea9eec5a-4fc2-4c58-94d0-2fcb598732bc" TargetMode="External"/><Relationship Id="rId456" Type="http://schemas.openxmlformats.org/officeDocument/2006/relationships/hyperlink" Target="https://github.com/LinialLab/OTRec" TargetMode="External"/><Relationship Id="rId306" Type="http://schemas.openxmlformats.org/officeDocument/2006/relationships/hyperlink" Target="https://github.com/aegardella/cfRNA_MECFS" TargetMode="External"/><Relationship Id="rId458" Type="http://schemas.openxmlformats.org/officeDocument/2006/relationships/hyperlink" Target="https://github.com/cmbi/Benchmark_GNN_OpenTargets/" TargetMode="External"/><Relationship Id="rId115" Type="http://schemas.openxmlformats.org/officeDocument/2006/relationships/hyperlink" Target="https://glygen.org/protein/P07332-1" TargetMode="External"/><Relationship Id="rId184" Type="http://schemas.openxmlformats.org/officeDocument/2006/relationships/hyperlink" Target="https://journals.plos.org/plosone/article?id=10.1371/journal.pone.0068991" TargetMode="External"/><Relationship Id="rId183" Type="http://schemas.openxmlformats.org/officeDocument/2006/relationships/hyperlink" Target="https://journals.plos.org/plosone/article?id=10.1371/journal.pone.0161504" TargetMode="External"/><Relationship Id="rId186" Type="http://schemas.openxmlformats.org/officeDocument/2006/relationships/hyperlink" Target="https://link.springer.com/article/10.1186/s13048-025-01956-0" TargetMode="External"/><Relationship Id="rId296" Type="http://schemas.openxmlformats.org/officeDocument/2006/relationships/hyperlink" Target="https://pmc.ncbi.nlm.nih.gov/articles/PMC10592925/" TargetMode="External"/><Relationship Id="rId303" Type="http://schemas.openxmlformats.org/officeDocument/2006/relationships/hyperlink" Target="https://pmc.ncbi.nlm.nih.gov/articles/PMC10881493/" TargetMode="External"/><Relationship Id="rId264" Type="http://schemas.openxmlformats.org/officeDocument/2006/relationships/hyperlink" Target="https://pmc.ncbi.nlm.nih.gov/articles/PMC12127534/" TargetMode="External"/><Relationship Id="rId305" Type="http://schemas.openxmlformats.org/officeDocument/2006/relationships/hyperlink" Target="https://pmc.ncbi.nlm.nih.gov/articles/PMC12377778/" TargetMode="External"/><Relationship Id="rId52" Type="http://schemas.openxmlformats.org/officeDocument/2006/relationships/hyperlink" Target="https://pmc.ncbi.nlm.nih.gov/articles/PMC13171177/" TargetMode="External"/><Relationship Id="rId243" Type="http://schemas.openxmlformats.org/officeDocument/2006/relationships/hyperlink" Target="https://pmc.ncbi.nlm.nih.gov/articles/PMC13240503/" TargetMode="External"/><Relationship Id="rId187" Type="http://schemas.openxmlformats.org/officeDocument/2006/relationships/hyperlink" Target="https://pmc.ncbi.nlm.nih.gov/articles/PMC13590264/" TargetMode="External"/><Relationship Id="rId297" Type="http://schemas.openxmlformats.org/officeDocument/2006/relationships/hyperlink" Target="https://pmc.ncbi.nlm.nih.gov/articles/PMC5849099/" TargetMode="External"/><Relationship Id="rId372" Type="http://schemas.openxmlformats.org/officeDocument/2006/relationships/hyperlink" Target="https://pubmed.ncbi.nlm.nih.gov/33246341/" TargetMode="External"/><Relationship Id="rId407" Type="http://schemas.openxmlformats.org/officeDocument/2006/relationships/hyperlink" Target="https://pubmed.ncbi.nlm.nih.gov/40715462/" TargetMode="External"/><Relationship Id="rId486" Type="http://schemas.openxmlformats.org/officeDocument/2006/relationships/hyperlink" Target="https://purl.obolibrary.org/obo/hp/hpoa/phenotype.hpoa" TargetMode="External"/><Relationship Id="rId468" Type="http://schemas.openxmlformats.org/officeDocument/2006/relationships/hyperlink" Target="https://raw.githubusercontent.com/adb258/cfrna_ai_manuscript/main/data/full%20pipeline/DONE_o3_MECFS_informed.zip" TargetMode="External"/><Relationship Id="rId465" Type="http://schemas.openxmlformats.org/officeDocument/2006/relationships/hyperlink" Target="https://raw.githubusercontent.com/adb258/cfrna_ai_manuscript/main/data/joined_df_MECFS.csv" TargetMode="External"/><Relationship Id="rId117" Type="http://schemas.openxmlformats.org/officeDocument/2006/relationships/hyperlink" Target="https://research.bioinformatics.udel.edu/iptmnet/entry/P07332/" TargetMode="External"/><Relationship Id="rId491" Type="http://schemas.openxmlformats.org/officeDocument/2006/relationships/hyperlink" Target="https://service.azul.data.humancellatlas.org/index/projects/ea9eec5a-4fc2-4c58-94d0-2fcb598732bc" TargetMode="External"/><Relationship Id="rId113" Type="http://schemas.openxmlformats.org/officeDocument/2006/relationships/hyperlink" Target="https://thebiogrid.org/108533/summary/homo-sapiens/fes.html" TargetMode="External"/><Relationship Id="rId114" Type="http://schemas.openxmlformats.org/officeDocument/2006/relationships/hyperlink" Target="https://thebiogrid.org/interaction/317111" TargetMode="External"/><Relationship Id="rId489" Type="http://schemas.openxmlformats.org/officeDocument/2006/relationships/hyperlink" Target="https://tissues.jensenlab.org/Downloads" TargetMode="External"/><Relationship Id="rId496" Type="http://schemas.openxmlformats.org/officeDocument/2006/relationships/hyperlink" Target="https://www.ebi.ac.uk/biosamples/samples/SAMN40568562" TargetMode="External"/><Relationship Id="rId22" Type="http://schemas.openxmlformats.org/officeDocument/2006/relationships/hyperlink" Target="https://www.ebi.ac.uk/biostudies/api/v1/studies/E-GEOD-4707" TargetMode="External"/><Relationship Id="rId497" Type="http://schemas.openxmlformats.org/officeDocument/2006/relationships/hyperlink" Target="https://www.ebi.ac.uk/ena/portal/api/search?result=read_run&amp;query=sample_accession%3D%22SAMN40568562%22&amp;fields=run_accession%2Csample_accession%2Cstudy_accession%2Cexperiment_accession%2Clibrary_strategy%2Cfastq_ftp&amp;format=json&amp;limit=10" TargetMode="External"/><Relationship Id="rId76" Type="http://schemas.openxmlformats.org/officeDocument/2006/relationships/hyperlink" Target="https://www.ebi.ac.uk/gwas/rest/api/efoTraits/MONDO_0005081/associations" TargetMode="External"/><Relationship Id="rId185" Type="http://schemas.openxmlformats.org/officeDocument/2006/relationships/hyperlink" Target="https://www.ebi.ac.uk/metabolights/ws/studies/MTBLS12367" TargetMode="External"/><Relationship Id="rId182" Type="http://schemas.openxmlformats.org/officeDocument/2006/relationships/hyperlink" Target="https://www.ebi.ac.uk/pride/ws/archive/v3/projects/PXD080843" TargetMode="External"/><Relationship Id="rId495" Type="http://schemas.openxmlformats.org/officeDocument/2006/relationships/hyperlink" Target="https://www.frontiersin.org/journals/endocrinology/articles/10.3389/fendo.2025.1576240/full" TargetMode="External"/><Relationship Id="rId180" Type="http://schemas.openxmlformats.org/officeDocument/2006/relationships/hyperlink" Target="https://www.frontiersin.org/journals/immunology/articles/10.3389/fimmu.2025.1511529/full" TargetMode="External"/><Relationship Id="rId359" Type="http://schemas.openxmlformats.org/officeDocument/2006/relationships/hyperlink" Target="https://www.frontiersin.org/journals/immunology/articles/10.3389/fimmu.2026.1823850/full" TargetMode="External"/><Relationship Id="rId482" Type="http://schemas.openxmlformats.org/officeDocument/2006/relationships/hyperlink" Target="https://www.kegg.jp/kegg/rest/keggapi.html" TargetMode="External"/><Relationship Id="rId181" Type="http://schemas.openxmlformats.org/officeDocument/2006/relationships/hyperlink" Target="https://www.nature.com/articles/s41380-025-03068-z" TargetMode="External"/><Relationship Id="rId471" Type="http://schemas.openxmlformats.org/officeDocument/2006/relationships/hyperlink" Target="https://www.nature.com/articles/s41398-026-03886-x" TargetMode="External"/><Relationship Id="rId464" Type="http://schemas.openxmlformats.org/officeDocument/2006/relationships/hyperlink" Target="https://www.nature.com/articles/s41467-026-74077-x" TargetMode="External"/><Relationship Id="rId326" Type="http://schemas.openxmlformats.org/officeDocument/2006/relationships/hyperlink" Target="https://www.nature.com/articles/s41590-025-02353-x" TargetMode="External"/><Relationship Id="rId273" Type="http://schemas.openxmlformats.org/officeDocument/2006/relationships/hyperlink" Target="https://www.nature.com/articles/s41598-020-72671-7/" TargetMode="External"/><Relationship Id="rId457" Type="http://schemas.openxmlformats.org/officeDocument/2006/relationships/hyperlink" Target="https://www.nature.com/articles/s41598-026-47765-3" TargetMode="External"/><Relationship Id="rId473" Type="http://schemas.openxmlformats.org/officeDocument/2006/relationships/hyperlink" Target="https://www.nature.com/articles/s41598-026-53455-x" TargetMode="External"/><Relationship Id="rId472" Type="http://schemas.openxmlformats.org/officeDocument/2006/relationships/hyperlink" Target="https://www.nature.com/articles/s43856-026-01854-6" TargetMode="External"/><Relationship Id="rId470" Type="http://schemas.openxmlformats.org/officeDocument/2006/relationships/hyperlink" Target="https://www.nature.com/articles/s44184-026-00232-3" TargetMode="External"/><Relationship Id="rId106" Type="http://schemas.openxmlformats.org/officeDocument/2006/relationships/hyperlink" Target="https://www.ncbi.nlm.nih.gov/geo/query/acc.cgi?acc=GSE114691" TargetMode="External"/><Relationship Id="rId316" Type="http://schemas.openxmlformats.org/officeDocument/2006/relationships/hyperlink" Target="https://www.ncbi.nlm.nih.gov/geo/query/acc.cgi?acc=GSE127831" TargetMode="External"/><Relationship Id="rId204" Type="http://schemas.openxmlformats.org/officeDocument/2006/relationships/hyperlink" Target="https://www.ncbi.nlm.nih.gov/geo/query/acc.cgi?acc=GSE143953" TargetMode="External"/><Relationship Id="rId209" Type="http://schemas.openxmlformats.org/officeDocument/2006/relationships/hyperlink" Target="https://www.ncbi.nlm.nih.gov/geo/query/acc.cgi?acc=GSE148241" TargetMode="External"/><Relationship Id="rId371" Type="http://schemas.openxmlformats.org/officeDocument/2006/relationships/hyperlink" Target="https://www.ncbi.nlm.nih.gov/geo/query/acc.cgi?acc=GSE153739" TargetMode="External"/><Relationship Id="rId219" Type="http://schemas.openxmlformats.org/officeDocument/2006/relationships/hyperlink" Target="https://www.ncbi.nlm.nih.gov/geo/query/acc.cgi?acc=GSE177049" TargetMode="External"/><Relationship Id="rId99" Type="http://schemas.openxmlformats.org/officeDocument/2006/relationships/hyperlink" Target="https://www.ncbi.nlm.nih.gov/geo/query/acc.cgi?acc=GSE186257" TargetMode="External"/><Relationship Id="rId94" Type="http://schemas.openxmlformats.org/officeDocument/2006/relationships/hyperlink" Target="https://www.ncbi.nlm.nih.gov/geo/query/acc.cgi?acc=GSE190971" TargetMode="External"/><Relationship Id="rId89" Type="http://schemas.openxmlformats.org/officeDocument/2006/relationships/hyperlink" Target="https://www.ncbi.nlm.nih.gov/geo/query/acc.cgi?acc=GSE192902" TargetMode="External"/><Relationship Id="rId200" Type="http://schemas.openxmlformats.org/officeDocument/2006/relationships/hyperlink" Target="https://www.ncbi.nlm.nih.gov/geo/query/acc.cgi?acc=GSE212787" TargetMode="External"/><Relationship Id="rId286" Type="http://schemas.openxmlformats.org/officeDocument/2006/relationships/hyperlink" Target="https://www.ncbi.nlm.nih.gov/geo/query/acc.cgi?acc=GSE214397" TargetMode="External"/><Relationship Id="rId272" Type="http://schemas.openxmlformats.org/officeDocument/2006/relationships/hyperlink" Target="https://www.ncbi.nlm.nih.gov/geo/query/acc.cgi?acc=GSE216638" TargetMode="External"/><Relationship Id="rId193" Type="http://schemas.openxmlformats.org/officeDocument/2006/relationships/hyperlink" Target="https://www.ncbi.nlm.nih.gov/geo/query/acc.cgi?acc=GSE221921" TargetMode="External"/><Relationship Id="rId325" Type="http://schemas.openxmlformats.org/officeDocument/2006/relationships/hyperlink" Target="https://www.ncbi.nlm.nih.gov/geo/query/acc.cgi?acc=GSE226260" TargetMode="External"/><Relationship Id="rId421" Type="http://schemas.openxmlformats.org/officeDocument/2006/relationships/hyperlink" Target="https://www.ncbi.nlm.nih.gov/geo/query/acc.cgi?acc=GSE229750" TargetMode="External"/><Relationship Id="rId388" Type="http://schemas.openxmlformats.org/officeDocument/2006/relationships/hyperlink" Target="https://www.ncbi.nlm.nih.gov/geo/query/acc.cgi?acc=GSE236402" TargetMode="External"/><Relationship Id="rId256" Type="http://schemas.openxmlformats.org/officeDocument/2006/relationships/hyperlink" Target="https://www.ncbi.nlm.nih.gov/geo/query/acc.cgi?acc=GSE238208" TargetMode="External"/><Relationship Id="rId295" Type="http://schemas.openxmlformats.org/officeDocument/2006/relationships/hyperlink" Target="https://www.ncbi.nlm.nih.gov/geo/query/acc.cgi?acc=GSE244827" TargetMode="External"/><Relationship Id="rId300" Type="http://schemas.openxmlformats.org/officeDocument/2006/relationships/hyperlink" Target="https://www.ncbi.nlm.nih.gov/geo/query/acc.cgi?acc=GSE245661" TargetMode="External"/><Relationship Id="rId259" Type="http://schemas.openxmlformats.org/officeDocument/2006/relationships/hyperlink" Target="https://www.ncbi.nlm.nih.gov/geo/query/acc.cgi?acc=GSE267287" TargetMode="External"/><Relationship Id="rId81" Type="http://schemas.openxmlformats.org/officeDocument/2006/relationships/hyperlink" Target="https://www.ncbi.nlm.nih.gov/geo/query/acc.cgi?acc=GSE272342" TargetMode="External"/><Relationship Id="rId342" Type="http://schemas.openxmlformats.org/officeDocument/2006/relationships/hyperlink" Target="https://www.ncbi.nlm.nih.gov/geo/query/acc.cgi?acc=GSE275334" TargetMode="External"/><Relationship Id="rId436" Type="http://schemas.openxmlformats.org/officeDocument/2006/relationships/hyperlink" Target="https://www.ncbi.nlm.nih.gov/geo/query/acc.cgi?acc=GSE279757" TargetMode="External"/><Relationship Id="rId178" Type="http://schemas.openxmlformats.org/officeDocument/2006/relationships/hyperlink" Target="https://www.ncbi.nlm.nih.gov/geo/query/acc.cgi?acc=GSE28242" TargetMode="External"/><Relationship Id="rId406" Type="http://schemas.openxmlformats.org/officeDocument/2006/relationships/hyperlink" Target="https://www.ncbi.nlm.nih.gov/geo/query/acc.cgi?acc=GSE284329" TargetMode="External"/><Relationship Id="rId169" Type="http://schemas.openxmlformats.org/officeDocument/2006/relationships/hyperlink" Target="https://www.ncbi.nlm.nih.gov/geo/query/acc.cgi?acc=GSE293353" TargetMode="External"/><Relationship Id="rId282" Type="http://schemas.openxmlformats.org/officeDocument/2006/relationships/hyperlink" Target="https://www.ncbi.nlm.nih.gov/geo/query/acc.cgi?acc=GSE293840" TargetMode="External"/><Relationship Id="rId263" Type="http://schemas.openxmlformats.org/officeDocument/2006/relationships/hyperlink" Target="https://www.ncbi.nlm.nih.gov/geo/query/acc.cgi?acc=GSE294074" TargetMode="External"/><Relationship Id="rId80" Type="http://schemas.openxmlformats.org/officeDocument/2006/relationships/hyperlink" Target="https://www.ncbi.nlm.nih.gov/geo/query/acc.cgi?acc=GSE295760" TargetMode="External"/><Relationship Id="rId132" Type="http://schemas.openxmlformats.org/officeDocument/2006/relationships/hyperlink" Target="https://www.ncbi.nlm.nih.gov/geo/query/acc.cgi?acc=GSE303463" TargetMode="External"/><Relationship Id="rId310" Type="http://schemas.openxmlformats.org/officeDocument/2006/relationships/hyperlink" Target="https://www.ncbi.nlm.nih.gov/geo/query/acc.cgi?acc=GSE313775" TargetMode="External"/><Relationship Id="rId358" Type="http://schemas.openxmlformats.org/officeDocument/2006/relationships/hyperlink" Target="https://www.ncbi.nlm.nih.gov/geo/query/acc.cgi?acc=GSE334857" TargetMode="External"/><Relationship Id="rId229" Type="http://schemas.openxmlformats.org/officeDocument/2006/relationships/hyperlink" Target="https://www.ncbi.nlm.nih.gov/geo/query/acc.cgi?acc=GSE44711" TargetMode="External"/><Relationship Id="rId294" Type="http://schemas.openxmlformats.org/officeDocument/2006/relationships/hyperlink" Target="https://www.ncbi.nlm.nih.gov/geo/query/acc.cgi?acc=GSE84796" TargetMode="External"/><Relationship Id="rId475" Type="http://schemas.openxmlformats.org/officeDocument/2006/relationships/hyperlink" Target="https://www.ncbi.nlm.nih.gov/geo/query/acc.cgi?acc=GSM8158605" TargetMode="External"/><Relationship Id="rId494" Type="http://schemas.openxmlformats.org/officeDocument/2006/relationships/hyperlink" Target="https://www.ncbi.nlm.nih.gov/geo/query/acc.cgi?acc=GSM8158605&amp;targ=self&amp;form=text&amp;view=full" TargetMode="External"/><Relationship Id="rId112" Type="http://schemas.openxmlformats.org/officeDocument/2006/relationships/hyperlink" Target="https://www.rcsb.org/structure/3BKB" TargetMode="External"/><Relationship Id="rId111" Type="http://schemas.openxmlformats.org/officeDocument/2006/relationships/hyperlink" Target="https://www.rcsb.org/structure/8XKP" TargetMode="External"/><Relationship Id="rId481" Type="http://schemas.openxmlformats.org/officeDocument/2006/relationships/hyperlink" Target="https://www.wikipathways.org/json/findPathwaysByTex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Cross-cohort candidate biomarkers in under-served diseases: a transparent multi-disease negative-results study</dc:title>
  <dc:creator/>
  <cp:keywords/>
  <dcterms:created xsi:type="dcterms:W3CDTF">2026-09-25T16:02:48Z</dcterms:created>
  <dcterms:modified xsi:type="dcterms:W3CDTF">2026-09-25T16:02:48Z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evaluate expression-derived gene candidates across nine original disease labels, including postpartum depression, and later add a distinct long-COVID follow-up arm. These ten disease topics now require ten separate projects; this manuscript is only their shared working core, not a substitute for ten papers. A prespecified duplicate-sample audit materially changed earlier apparent replications. In the deduplicated analysis, top-50 signatures passed an empirical-null sign test in polycystic ovary syndrome (PCOS) and interstitial cystitis, though the latter has a small validation cohort; five other testable disease signatures did not pass. A named preeclampsia candidate, GNG2, did not replicate. Independent fresh RNA-seq cohorts falsified the directional ST3GAL2 prediction. A held-out cohort convolutional neural network (CNN) scored below logistic regression on average. The graph neural network (GNN) benchmark is within-project only; no published state-of-the-art comparison or validated new biomarker has yet been established. This manuscript is a working report, not a clinical test claim.</vt:lpwstr>
  </property>
  <property fmtid="{D5CDD505-2E9C-101B-9397-08002B2CF9AE}" pid="3" name="date">
    <vt:lpwstr>25 September 2026 - working manuscript; not yet complete</vt:lpwstr>
  </property>
</Properties>
</file>