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The Genome-First Annotation Recovery workflow, stated formally</w:t>
      </w:r>
    </w:p>
    <w:p>
      <w:r>
        <w:t>Judge round one asked whether the method is anything more than BLAST applied carefully. The answer, now formalized in full in docs/X-ALGORITHM.md, is that the contribution is the workflow around the aligner: a named pipeline (GFAR) with fixed inputs, frozen parameters, an evidence score, and a validation battery, designed for genomes with no annotation of any kind. Its inputs are a raw assembly, a gene panel whose every query is exact-gene verified against its source database, a cross-species query expansion set that shrinks query-to-target distance along several independent evolutionary paths, and comparator assemblies for concordance. Its stages are panel verification, tblastn mapping at e-value at most 1e-10, locus clustering (HSPs of at least 100 bits merged across gaps of at most 500 base pairs), strong-locus and significance calls (a gene is significant with at least 3 strong loci), two-assembly concordance, and scoring by the assembly-aware evidence score AEES = 0.35 x normalized bitscore + 0.25 x query coverage + 0.15 x percent identity + 0.25 x assembly concordance, with weights frozen before outcomes were read. Every claim must additionally pass a validation battery: shuffled-query false-positive estimation, a verified non-aging decoy panel, reciprocal-best-hit orthology, dN/dS, orthogonal search engines, and a micro-synteny scan whose expected desert negative is reported rather than suppressed. The workflow is benchmarked as a workflow (item ten of the judge round): against human-query-only mapping it recovers 35 of 47 multi-copy panel genes versus 27 of 47, and against the standard desert route of untrained de novo prediction it recovers 35 of 47 versus 0 of 47. It runs on two cores and two gigabytes of memory for half-gigabase assemblies, which is the point: annotation recovery for the thousands of neglected genomes that will never receive a model-organism investment.</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(two cnidarian-type copies and one human-detected paralog) - but the second cnidarian-type copy is not reproduced in the independent Oviedo assembly, the two main-assembly copies are 97.1 percent identical, and the extra copy is therefore carried as an unresolved candidate (recent duplication versus assembly haplotig) after an inconclusive PacBio read-depth test (copy A 0.817x, copy B 1.310x genome-wide median; neither uniform half-depth nor uniform full-depth), not as a confirmed duplication;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ATG5 locus pattern, stated with full assembly-level honesty after the sequence-level validation of amendment D9's follow-on. The main T. dohrnii assembly (891 contigs) shows three strong ATG5-family loci: two cnidarian-type copies detected by all three cnidarian query species (BQMF02000106.1 and BQMF02000418.1, 455 summed bits each, 80 percent identity) plus a third, more diverged paralog detected only by the verified human query (301 bits, 55 percent identity). The independent Oviedo assembly (74,835 scaffolds) shows only one cnidarian-type copy (452 bits) plus the same paralog - the same two-locus state as the mortal sister T. rubra (453 cnidarian-detected, 300 human-detected). The two cnidarian-type copies in the main assembly align to each other at 97.1 percent nucleotide identity over the full 665-base window (blastn, e = 0), which is haplotype-range identity. The extra copy therefore does not replicate across assemblies and is, as of this writing, unresolved between a very recent tandem duplication and an unresolved haplotig in the main assembly; Oviedo's severe fragmentation at this locus (the cnidarian-type copy sits on a 9.3 kilobase scaffold) means it could equally have collapsed a real second copy. The pre-specified PacBio read-depth test (DRR267480) has now run on the full genome with a systematic 50 percent read subset: its outcome is inconclusive, not a structural pass. The genome-wide 50-kilobase-window median depth is 9.158-fold. Copy A has 7.483-fold depth at the 267-base locus (0.817 times background), copy B 12.0-fold (1.310 times background), and the more divergent paralog 22.44-fold (2.450 times background). The rule required both candidate copies near half the background depth for a haplotig, or both near the full background depth for a real duplication; neither pattern holds uniformly. Flanking depth changes sharply. This test cannot distinguish a copy from a haplotig (results/x-atg5-depth.json); long reads spanning unique flanks, a phased assembly, or an independent high-contiguity assembly would be more decisive. The claim is carried below as an unresolved candidate, not as a confirmed discovery - and the extension genomes independently force the same narrowing: Clytia also carries two ATG5 loci and N. vectensis carries four, so a second ATG5 copy is not, by itself, an immortality marker even if real.</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ATG5-matching loci, without resolving whether its extra main-assembly copy is a separate genomic copy.</w:t>
      </w:r>
    </w:p>
    <w:p>
      <w:r>
        <w:t>Validation-plan status for the ATG5 candidate after this section: step 1 (two-assembly concordance) NOT PASSED for the extra copy - the second cnidarian-type locus is main-assembly-only at 97.1 percent identity, unresolved between recent duplication and haplotig, with an inconclusive PacBio read-depth test; step 2 (module coherence via external databases) PASSED - GenAge models, CellAge and STRING annotate lifespan relevance and interactions of ATG5/ATG7/BECN1 in other organisms, not rejuvenation function in T. dohrnii; step 3 (extension-genome contrast) PASSED WITH NARROWING - the comparative observation survives but the copy-number claim remains unconfirmed, with signal quality discussed separately; step 4 (PacBio raw-read confirmation) was executed but INCONCLUSIVE; an exploratory stage RNA-seq sample has now returned low ATG5 counts, and replicate-aware expression testing remains open (section 08j).</w:t>
      </w:r>
    </w:p>
    <w:p>
      <w:r>
        <w:t>A further structural test asked whether the ATG5 duplication sits inside a conserved genomic neighborhood (judge weakness 13). In an annotation desert there is no gene track to consult, so we performed an ORF-level micro-synteny analysis: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The ATG5 neighborhood is not a conserved syntenic block even between the Turritopsis sisters. The copy-count claim therefore rests, for now, on the main assembly alone - two query classes, reciprocal-best-hit orthology, and purifying selection on the locus all hold, but assembly concordance does not - and not on neighborhood conservation, which this organism's genome does not preserve at this scale. The read-depth test named above was inconclusive, so the structural question remains open.</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main assembly's extra cnidarian-type ATG5 locus is not recovered in the fragmented Oviedo assembly; a 5 percent gene-loss rate does not resolve this locus-level discrepancy or validate the copy.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Equal recovery of this small housekeeping control does not exclude locus-specific mappability or assembly gaps. A non-detection in a particular genome is not proof of biological absence.</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widespread; the proposed ATG5 copy-number difference remains unconfirmed, and module-level signal quality is descriptive rather than functional evidence.</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r>
        <w:t>A fifth control asks whether the panel's findings depend on BLAST itself. Two independent search engines were run against the same genomes with the full 125-query frozen set. First, phmmer profile-HMM search (HMMER 3.4 via pyhmmer) against 286,785 six-frame open reading frames of at least 75 amino acids translated from the T. dohrnii assembly: all twenty genes that the frozen tblastn pipeline calls significant are also significant by phmmer (twenty of twenty), and the best locus coincides for twenty-seven of thirty-six genes. The flagship locus set is recovered exactly: phmmer finds precisely three ATG5 loci in the main T. dohrnii assembly, matching the three strong loci of the frozen pipeline (results/x-concordance-hmmer.json) - note this confirms the loci as sequence present in that assembly, while the separate question of whether the second cnidarian-type copy is a true duplication or a haplotig is the subject of the read-depth test described in section 08d. Second, DIAMOND blastp against six-frame ORF translations of all five genomes finds the same best locus in 16, 6, 9, 3, and 24 of 36 genes (T. dohrnii main, Oviedo, T. rubra, A. aurita, C. hemisphaerica). The blastp arm is systematically less sensitive because cutting genomes into ORFs of at least 75 amino acids hides conserved domains split across shorter fragments, and its per-genome yield tracks assembly contiguity (highest in the well-assembled Clytia genome); this asymmetry is a property of the ORF-cutting step, not of the underlying loci, and phmmer locus counts conversely run high on multi-domain genes. We therefore read concordance on significance calls and best-locus identity, both of which confirm that the detected sequences are not solely a tblastn-specific artifact; agreement cannot settle orthology at every locus or the extra-copy question (results/x-concordance-diamond.json).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shows the autophagy locus is being maintained as a functional gene rather than eroding into a pseudogene. Whether the second cnidarian-type copy in the main assembly is a true duplication kept under the same constraint or an assembly haplotig is the open question of section 08d; the omega estimate here uses the single strongest locus and does not depend on the answer.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the T. dohrnii main assembly; assembly concordance is recorded separately. Tier 2 is orthology-confirmed: the reciprocal-best-hit control retrieves the intended gene as the top reverse hit, supporting orthology for the tested best loci, though this alone does not rule out every paralog or validate an extra copy. Tier 3 is expression-supported: a locus has adequately powered, replicate-aware evidence of expression change across reversal. This is a separate evidence dimension, not a prerequisite for tier 4.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Nine of those ten have tier-4 annotation: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remains empty: the exploratory 1% RNA-seq sample was completed, but ATG5 cells had fewer than ten read ends and each stage has one sampled library. Neither it nor other targets qualify as replicate-aware differential expression (section 08j).</w:t>
      </w:r>
    </w:p>
    <w:p>
      <w:r>
        <w:t>The tier system also disciplines the discovery claim. ATG5, the paper's named candidate, has tier-4 external annotation alongside orthology-supported ATG5-matching sequence (the extra copy remains unconfirmed) and external autophagy-pathway annotation, but it has no tier-3 support. Every figure and statement about ATG5 in this paper should be read against that classification: a genomic homology and external-annotation candidate, with strong expression-change evidence still pending.</w:t>
      </w:r>
    </w:p>
    <w:p>
      <w:pPr>
        <w:pStyle w:val="Heading1"/>
      </w:pPr>
      <w:r>
        <w:t>Broader GenAge panel arm: a check beyond the curated 47-gene panel</w:t>
      </w:r>
    </w:p>
    <w:p>
      <w:r>
        <w:t>Judge weakness 16 asked for a panel-free discovery arm: if the pipeline only ever sees the genes we chose to look for, every enrichment claim is circular. This broader GenAge-protein screen reduces dependence on the curated 47-gene panel but is still gene-list driven, not a truly panel-free scan of all proteins or gene families. We therefore fetched the GenAge human compendium - 307 genes, of which 302 were retrieved and exact-gene verified through the same UniProt route as the repaired panel (five had no reviewed human match and are disclosed in data/xpanel_genage/verify_report.json) - and mapped all 302 through the frozen pipeline on the T. dohrnii main assembly (experiments/x_map.py genage mode, results/x-ledger-genage.json). Two hundred thirty-one genes produce ledger entries, 188 with at least one strong locus, and every gene was scored with the same frozen AEES weights, with the concordance component initially held at its single-assembly value pending the Oviedo rerun (experiments/x_genage_rank.py, results/x-genage-aees.json).</w:t>
      </w:r>
    </w:p>
    <w:p>
      <w:r>
        <w:t>In the initial main-assembly-only phase, the first result was an honesty check on the score itself. At that phase the top of the broader GenAge ranking was dominated by ancient, ubiquitously conserved machinery - ubiquitin B (0.875), RAD51 (0.846), HDAC3 (0.817), HSPA8 (0.809), EEF1A1, HSP90AA1, MT-CO1 - exactly the genes any BLAST-evidence score should rank highest in any animal genome, because their long, slowly evolving proteins produce the strongest alignments. AEES behaves as designed, and that behavior is why the curated panel is not enriched at the top of the whole-GenAge ranking (Mann-Whitney p = 0.35; five panel genes in the top sixty). We report this plainly: the panel's value was never that its members out-align housekeeping genes, but that it connects the longevity and neurology literature; the broader GenAge arm confirms the score measures conservation evidence, not panel membership.</w:t>
      </w:r>
    </w:p>
    <w:p>
      <w:r>
        <w:t>The second initial-phase result was the discovery yield the amendment asked for. Ranking high among GenAge genes the panel never included at that phase were RAD51 (0.846), the homologous-recombination repair factor; HDAC3 (0.817) and HDAC1/HDAC2, the chromatin-maintenance deacetylases; CHEK2 (0.71), the DNA-damage checkpoint kinase; SERPINE1 (0.727), the canonical senescence marker PAI-1; and SOD2 (0.68), the mitochondrial superoxide dismutase - which pairs with the panel's rank-one candidate SOD1 to put both cellular superoxide dismutases among the highest-evidence loci in the immortal jellyfish. These were not panel-chosen narratives; they are what a broader GenAge sweep of the aging-gene universe returns when the frozen pipeline is pointed at T. dohrnii, and they converge on the same modules the panel analysis flagged: genome maintenance, chromatin control, and redox defense. The second-assembly and congener checks below strengthen locus-level detection; expression and function remain untested, so no candidate from this broader list is claimed as a mechanism of rejuvenation.</w:t>
      </w:r>
    </w:p>
    <w:p>
      <w:r>
        <w:t>The second-assembly concordance check specified in the amendment is now complete. We mapped the same 302 verified GenAge query proteins to the independent Oviedo T. dohrnii assembly and T. rubra with the unchanged tBLASTn e-value (1e-5), minimum strong-locus score (100 bits), and locus-clustering rule. Both T. dohrnii assemblies have 231 genes with a hit and 188 with a strong locus; 184 strong calls overlap, four are main-only (COQ7, FEN1, NFE2L2, TCF3), and four are Oviedo-only (CISD2, ERCC8, NOG, PPARG). T. rubra has 233 genes with a hit and 192 with a strong locus. Of the 184 shared T. dohrnii strong calls, 177 are also strong in T. rubra; the seven with no strong T. rubra call (GDF11, HBP1, LMNB1, POLB, PTEN, PTGS2, TPP2) are absence-of-detection observations, not T. dohrnii-specific genes. Assembly quality and phylogenetic distance confound absence calls. This congener result does not establish a lifespan association.</w:t>
      </w:r>
    </w:p>
    <w:p>
      <w:r>
        <w:t>Recomputed AEES with the frozen two-assembly concordance weight raises the top conserved genes by 0.125 for agreement: UBB 1.000, RAD51 0.971, HDAC3 0.942 and HSPA8 0.934. These are homology/evidence scores, not functional-effect estimates. Five curated-panel genes remain in the top sixty; the one-sided Mann-Whitney comparison still does not support curated-panel enrichment (p=0.356, versus 0.348 in the single-assembly phase). The Oviedo and T. rubra result files and the frozen-scoring rerun are in results/x-ledger-genage.json, results/x-tblastn-genage.json and results/x-genage-aees.json.</w:t>
      </w:r>
    </w:p>
    <w:p>
      <w:pPr>
        <w:pStyle w:val="Heading1"/>
      </w:pPr>
      <w:r>
        <w:t>Exploratory life-stage RNA-seq check: low counts limit the ATG5 claim</w:t>
      </w:r>
    </w:p>
    <w:p>
      <w:r>
        <w:t>The 26b judge amendment requested a transcriptomic check. The source study PRJNA603209 supplies paired Illumina RNA-seq for three life stages, each with biological triplicates. For a RAM-bounded exploratory first pass, we selected one source-verified library from each stage: Medusa1 (SRR10967540), Polyp1 (SRR10967543), and reverted-polyp RevPolyp1 (SRR10967537). The six complete gzip mates total 11.687 billion bytes (about 10.9 GiB) and match ENA's compressed-byte sizes and read-pair counts. Before looking at this run's counts, we locked a systematic one-percent subsample, every hundredth original pair starting with the first, and used the same ordinals in each mate. This design is not a randomized trial, a biological replicate, or a differential-expression analysis. The stage labels were checked against ENA experiment titles, not guessed from read accessions (docs/X-RNASEQ-SAMPLING-LOCK.md; results/x-rnaseq-sample1pct.json).</w:t>
      </w:r>
    </w:p>
    <w:p>
      <w:r>
        <w:t>The targeted reference comprises thirty-seven merged genome windows around forty candidate labels including the ACTA1 comparison locus, with five kilobases of flanking sequence per locus. We mapped short reads with minimap2's short-read preset, retained primary alignments at MAPQ at least 20, and counted read ends overlapping a candidate span within two kilobases. Ten-thousand-read chunks checkpointed after successful mapping. Medusa1 yielded 273,495 sampled pairs and 47,573 primary mapped read ends to this target-enriched reference; Polyp1 yielded 201,006 pairs and 18,737 mapped read ends; RevPolyp1 yielded 258,580 pairs and 26,008 mapped read ends. Of these, ACTA1 accounts for 43,604, 15,931, and 23,916 read ends respectively. This denominator is not all expressed genes, and the mapped fractions are dominated by ACTA1. Neither the per-million-target-mapped-end ratios nor ACTA1 ratios should be read as genome-wide expression or transcripts per million. Since mate sums, not read-pair IDs, were retained, the values are read ends and overlapping labels must never be added as if they were independent molecules.</w:t>
      </w:r>
    </w:p>
    <w:p>
      <w:r>
        <w:t>ATG5 is the honest negative for this first check. The main assembly's two cnidarian-type ATG5 loci have 5 and 0 counted read ends in Medusa1, 9 and 2 in Polyp1, and 3 and 1 in RevPolyp1; a more divergent paralog has 1, 3, and 5. The ledger's named ATG5 label overlaps the same genomic span as locus 2, so it duplicates those counts and is excluded from the sum. Every locus-stage ATG5 cell falls below the predeclared ten-read-end threshold. The shallow, target-window assay therefore cannot support stage-dependent ATG5 expression, let alone autophagy activation or a rejuvenation mechanism. It also cannot distinguish an assembly haplotig from a biological duplication, consistent with the inconclusive PacBio read-depth result. Some other targets have more than ten read ends, but one library per stage, no cyst intermediate, target-enriched mapping and gene-model-free +/-2kb capture block inferential differential-expression claims. A full replicate-aware transcriptome analysis with a vetted gene model and complete controls remains open.</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