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main public gene database search returned few usable gene-level records for this assembly, though its genome provider does publish high-confidence gene models. That mismatch makes a raw-assembly search useful, not a claim that annotations do not exist.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where the assemblies show possible counterparts, copy-number signals, or no detectable strong hit in a fixed search. A matching sequence is a candidate to study, not evidence that the animal uses it to rejuvenate; a missing hit is not proof that the gene is absent. The possible extra ATG5 copy could not be settled with the public long reads.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r>
        <w:t>A later all-protein comparison did not validate a newly expanded family, and a three-stage RNA pilot was too sparse to show a reliable expression change. The new long-read test also did not settle ATG5 copy structure. These limits matter: this report is a transparent map and a set of testable leads, not a discovered cause of aging reversal or a proven new algorithm.</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This expansion connects jellyfish genomics to aging and longevity research and to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in the queried database route. The genome provider nevertheless publishes high-confidence predictions and expression tables for its assembly; the audit did not search every repository. That database-specific gap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homologous sequence is detectable in the genome despite sparse named records in the particular databases queried.</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have no detectable strong hit under the fixed search, and where provisional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exploratory candidates are named loci whose detection or apparent copy-number pattern can be tested across assemblies and relatives; none is a validated biomarker of rejuvenation. The orthogonal verification arms are assembly replication, negative controls, annotated-genome calibration, and panel-versus-panel contrasts. The translational perspective is a literature connection to human aging and neurodegeneration biology; it neither establishes conserved function nor verifies a therapeutic target in this species.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closed-phase route then used raw genome assemblies: a contig-level assembly (GCA_027922465.2) and the scaffold-level assembly associated with the Oviedo group (GCA_025167195.1), plus the A. aurita assembly GCA_004194415.1. This statement is restricted to the queried database fields: Kyushu separately published 23,314 high-confidence predicted genes and expression data for its T. dohrnii assembly (Hasegawa et al. 2023).</w:t>
      </w:r>
    </w:p>
    <w:p>
      <w:r>
        <w:t>The closed-phase report called the selected query miss an annotation desert. In this case it was a retrieval gap in chosen databases, not proof of scarce public predictions for the organism. The practical consequence of mistaking this particular query miss for a complete resource census would be a false absence claim. Absence of annotation is not absence of genes. The closed phase proved the distinction by an independent route: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direct genome mapping is a useful independent check, not the only possible route. Every claim in the chapters that follow is therefore built on direct genome mapping with calibrated thresholds, positive controls that reproduce the closed phase's calls, and negative controls built from shuffled query sequences. The original mapping used databases to source query proteins from reference species, but later arms also inspected provider gene models and their RNA evidence.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closed-phase audit measured a narrower, database-specific gap: its organism-and-gene queries to selected NCBI gene, nucleotide and protein fields, with a UniProt check, found no named records for the repair and telomerase panel. That does not mean T. dohrnii has no deposited annotations. The Kyushu genome provider published 23,314 high-confidence predicted genes, their peptides/GFF, and an RNA-based classification; its 2023 paper also used OrthoFinder across cnidarians. The closed-phase search failed to find those resources, so claims that nobody had predicted or deposited genes were wrong. The direct-assembly ledger is still useful as a separate, threshold-frozen homology search, but cannot be portrayed as first gene annotation or as defeating every existing gene-model workflow (Hasegawa et al. 2023, https://academic.oup.com/dnaresearch/article/30/1/dsac047/6909006).</w:t>
      </w:r>
    </w:p>
    <w:p>
      <w:r>
        <w:t>The expansion's targeted NCBI gene/protein query audit likewise returned no entries for its 47 tested gene labels. That result describes the exact query and database fields, not all public gene resources or biological absence. It should motivate cross-checks with the provider's annotations, not a declaration that a genus is unannotated. A predicted gene is also not automatically the sought functional ortholog; both the prediction and our BLAST locus need independent biological validation.</w:t>
      </w:r>
    </w:p>
    <w:p>
      <w:r>
        <w:t>Why the NCBI search did not retrieve the provider's models is not established by this audit. Database indexing, accession choice, naming conventions and query syntax are plausible causes, but these were not systematically isolated. The observed fact is the narrower search miss alongside an existing provider-published gene catalog.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often needs checks across raw assemblies, provider models and indexed databases; our direct mapping was one such check: genome-first, calibration-first, threshold-frozen, controls-always. The pipeline the closed phase built and this expansion reuses is one such method, and it is deliberately mundane: BLAST, a fixed bit-score threshold, locus clustering, controls. Its simplicity helps auditability, but does not establish accuracy without independent checks.</w:t>
      </w:r>
    </w:p>
    <w:p>
      <w:r>
        <w:t>There is also a quiet opportunity in the desert. Even when general search returns nothing, a mapped panel locus is a checkable coordinate hypothesis: a specific locus, on a specific contig, with specific coordinates, identity, coverage, and evidence, recorded in a public ledger. Aggregated across the panels, the ledgers form an independent coordinate index for a selected set of maintenance genes, not a first gene annotation. These ledgers can be compared to the provider's existing annotations. The remaining question is whether each candidate matches a gene model and a functional ortholog.</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from a raw assembly when gene labels are sparse</w:t>
      </w:r>
    </w:p>
    <w:p>
      <w:r>
        <w:t>Because the queried gene database route had sparse records despite provider-published models,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Accession hygiene avoids treating a query miss as missing public data,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original genome-mapping expansion runs on a small machine,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document what our workflow recorded. The repository carries both, but the ledgers underlie the computed figures and tables, while interpretive prose also requires independent source checks.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Detected-record fraction (limited benchmark arms). Fraction = (panel genes with at least one strong locus under the arm) / panel size for multi-species versus human-only queries on Clytia. The separate T. dohrnii query-route comparison measures retrieved record count, not biological recall, because it did not assess the existing provider models.</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Genome-first annotation recovery as a bounded workflow</w:t>
      </w:r>
    </w:p>
    <w:p>
      <w:r>
        <w:t>GFAR names a set of steps: verified panel queries, translated alignment to assemblies, fixed 50 kb clustering and 100-bit strong-locus cutoff, assembly-aware evidence scoring, controls, and negative-result reporting. The executable tBLASTn arm uses e-value 1e-5 and 50 kb clustering (experiments/x_map.py; jellyfish/loci.py). These are *mapping* thresholds, not an orthogroup or gene-prediction algorithm. The independent Kyushu project already produced 23,314 high-confidence models and ran OrthoFinder; OrthoFinder itself infers orthogroups and duplication events, and CAFE models gene-family-count error (Hasegawa et al. 2023; Emms and Kelly 2019; Han et al. 2013). Our workflow should not be framed as first annotation or proven algorithmic novelty.</w:t>
      </w:r>
    </w:p>
    <w:p>
      <w:r>
        <w:t>A paired calibration on Clytia holds mapping output and cutoff fixed: cnidarian-plus-human queries recover strong loci for 35 of 47 genes versus 27 of 47 for human-only queries (results/x-benchmark-recall.json). This tests query-selection sensitivity, not precision or discovery superiority against published protein models and orthogroup pipelines. A separate NCBI organism/gene-field lookup returned no entries for 47 target labels, but did not search the provider's gene catalog; it is a database-route comparison only. Exact panel-wide gene-family duplication, transcriptomic effect and functional mechanism remain separate questions requiring orthogonal evidence. See docs/X-ALGORITHM.md for the historical formulation and its now-qualified benchmark.</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r>
        <w:t>Benchmark scope and limits</w:t>
      </w:r>
    </w:p>
    <w:p>
      <w:r>
        <w:t>Two limited contrasts probe whether particular design choices change measured strong-locus yield. Neither is a fair benchmark against existing annotation pipelines.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eight labels lacked a strong hit from a human-only query but cleared the cutoff with a closer cnidarian query; without independent truth labels, we cannot say whether each is a true-positive recovery. Per-gene results are in results/x-benchmark-recall.json. The contrast is a paired re-analysis on identical genomes, thresholds, clustering and tBLASTn output. The +17 percentage point strong-locus yield difference is attributable to the query set under these rules, but true-positive recall requires independently known gene identities.</w:t>
      </w:r>
    </w:p>
    <w:p>
      <w:r>
        <w:t>The second contrast is direct assembly search against a narrow database lookup, not a replacement for provider-published gene models.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That exact NCBI query route yielded zero entries, not zero public gene annotations. The genome-first pipeline maps 35 of the 47 panel genes in the main T. dohrnii assembly alone (35 in the fragmented Oviedo assembly), 35/47 strong-locus calls versus zero hits in that NCBI query route, without a shared truth set that establishes biological recall. The comparison is limited because the Kyushu provider separately published high-confidence gene predictions and expression data; a fair claim of method superiority would test those models, not only an NCBI lookup. Our mapped calls have coordinates, e-values and scores; the exact NCBI query returned no named records. Methodologically the benchmark arm is honest about asymmetry: the two retrieval routes produce different evidence types, and the comparison is detected-record yield under specific retrieval routes, not biological recall or statistical superiority.</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a stronger detection class than one-assembly hits, but not proof of biological function.</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after inconclusive PacBio depth (copy A 0.817x, copy B 1.310x genome-wide median) and a full-read unique-flank test with zero reads spanning both 5 kb flanks at either locus,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a plausible process to test during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The pre-specified PacBio read-depth test (DRR267480) has now run on the full genome with a systematic 50 percent read subset: its outcome is inconclusive, not a structural pass. The genome-wide 50-kilobase-window median depth is 9.158-fold. Copy A has 7.483-fold depth at the 267-base locus (0.817 times background), copy B 12.0-fold (1.310 times background), and the more divergent paralog 22.44-fold (2.450 times background). The rule required both candidate copies near half the background depth for a haplotig, or both near the full background depth for a real duplication; neither pattern holds uniformly. Flanking depth changes sharply. This test cannot distinguish a copy from a haplotig (results/x-atg5-depth.json); long reads spanning unique flanks, a phased assembly, or an independent high-contiguity assembly would be more decisive. The claim is carried below as an unresolved candidate,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ATG5-matching loci, without resolving whether its extra main-assembly copy is a separate genomic copy.</w:t>
      </w:r>
    </w:p>
    <w:p>
      <w:r>
        <w:t>Validation-plan status for the ATG5 candidate after this section: step 1 (two-assembly concordance) NOT PASSED for the extra copy - the second cnidarian-type locus is main-assembly-only at 97.1 percent identity, unresolved between recent duplication and haplotig, with an inconclusive PacBio read-depth test; step 2 (module coherence via external databases) PASSED - GenAge models, CellAge and STRING annotate lifespan relevance and interactions of ATG5/ATG7/BECN1 in other organisms, not rejuvenation function in T. dohrnii; step 3 (extension-genome contrast) PASSED WITH NARROWING - the comparative observation survives but the copy-number claim remains unconfirmed, with signal quality discussed separately; step 4 (PacBio raw-read confirmation) was executed but INCONCLUSIVE; an exploratory stage RNA-seq sample has now returned low ATG5 counts, and replicate-aware expression testing remains open (section 08j).</w:t>
      </w:r>
    </w:p>
    <w:p>
      <w:r>
        <w:t>A further structural test asked whether the ATG5 duplication sits inside a conserved genomic neighborhood (judge weakness 13). This exploratory scan used ORF translations, rather than the separately published Kyushu high-confidence gene track, so it cannot substitute for gene-model-aware synteny: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This ORF scan did not detect a conserved syntenic block between the Turritopsis sisters; failure to detect is not proof of a missing block. The copy-count claim therefore rests, for now, on the main assembly alone - two query classes, reciprocal-best-hit orthology, and purifying selection on the locus all hold, but assembly concordance does not - and not on neighborhood conservation, which this limited scan did not establish. The read-depth test named above was inconclusive, so the structural question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main assembly's extra cnidarian-type ATG5 locus is not recovered in the fragmented Oviedo assembly; a 5 percent gene-loss rate does not resolve this locus-level discrepancy or validate the copy.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Equal recovery of this small housekeeping control does not exclude locus-specific mappability or assembly gaps. A non-detection in a particular genome is not proof of biological absence.</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widespread; the proposed ATG5 copy-number difference remains unconfirmed, and module-level signal quality is descriptive rather than functional evidence.</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detected sequences are not solely a tblastn-specific artifact; agreement cannot settle orthology at every locus or the extra-copy question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the T. dohrnii main assembly; assembly concordance is recorded separately. Tier 2 is orthology-confirmed: the reciprocal-best-hit control retrieves the intended gene as the top reverse hit, supporting orthology for the tested best loci, though this alone does not rule out every paralog or validate an extra copy. Tier 3 is expression-supported: a locus has adequately powered, replicate-aware evidence of expression change across reversal. This is a separate evidence dimension, not a prerequisite for tier 4.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Nine of those ten have tier-4 annotation: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remains empty: the exploratory 1% RNA-seq sample was completed, but ATG5 cells had fewer than ten read ends and each stage has one sampled library. Neither it nor other targets qualify as replicate-aware differential expression (section 08j).</w:t>
      </w:r>
    </w:p>
    <w:p>
      <w:r>
        <w:t>The tier system also disciplines the discovery claim. ATG5, the paper's named candidate, has tier-4 external annotation alongside orthology-supported ATG5-matching sequence (the extra copy remains unconfirmed) and external autophagy-pathway annotation, but it has no tier-3 support. Every figure and statement about ATG5 in this paper should be read against that classification: a genomic homology and external-annotation candidate, with strong expression-change evidence still pending.</w:t>
      </w:r>
    </w:p>
    <w:p>
      <w:pPr>
        <w:pStyle w:val="Heading1"/>
      </w:pPr>
      <w:r>
        <w:t>Broader GenAge panel arm: a check beyond the curated 47-gene panel</w:t>
      </w:r>
    </w:p>
    <w:p>
      <w:r>
        <w:t>Judge weakness 16 asked for a panel-free discovery arm: if the pipeline only ever sees the genes we chose to look for, every enrichment claim is circular. This broader GenAge-protein screen reduces dependence on the curated 47-gene panel but is still gene-list driven, not a truly panel-free scan of all proteins or gene families. We therefore fetched the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broader GenAge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broader GenAge arm confirms the score measures conservation evidence, not panel membership.</w:t>
      </w:r>
    </w:p>
    <w:p>
      <w:r>
        <w:t>The second initial-phase result was a broader candidate yield, not panel-free discovery.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outside the curated 47-gene panel but still selected by GenAge; they are what a broader sweep of the aging-gene list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candidate from this broader list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Exploratory life-stage RNA-seq check: low counts limit the ATG5 claim</w:t>
      </w:r>
    </w:p>
    <w:p>
      <w:r>
        <w:t>The 26b judge amendment requested a transcriptomic check. The source study PRJNA603209 supplies paired Illumina RNA-seq for three life stages, each with biological triplicates. For a RAM-bounded exploratory first pass, we selected one source-verified library from each stage: Medusa1 (SRR10967540), Polyp1 (SRR10967543), and reverted-polyp RevPolyp1 (SRR10967537). The six complete gzip mates total 11.687 billion bytes (about 10.9 GiB) and match ENA's compressed-byte sizes and read-pair counts. Before looking at this run's counts, we locked a systematic one-percent subsample, every hundredth original pair starting with the first, and used the same ordinals in each mate. This design is not a randomized trial, a biological replicate, or a differential-expression analysis. The stage labels were checked against ENA experiment titles, not guessed from read accessions (docs/X-RNASEQ-SAMPLING-LOCK.md; results/x-rnaseq-sample1pct.json).</w:t>
      </w:r>
    </w:p>
    <w:p>
      <w:r>
        <w:t>The targeted reference comprises thirty-seven merged genome windows around forty candidate labels including the ACTA1 comparison locus, with five kilobases of flanking sequence per locus. We mapped short reads with minimap2's short-read preset, retained primary alignments at MAPQ at least 20, and counted read ends overlapping a candidate span within two kilobases. Ten-thousand-read chunks checkpointed after successful mapping. Medusa1 yielded 273,495 sampled pairs and 47,573 primary mapped read ends to this target-enriched reference; Polyp1 yielded 201,006 pairs and 18,737 mapped read ends; RevPolyp1 yielded 258,580 pairs and 26,008 mapped read ends. Of these, ACTA1 accounts for 43,604, 15,931, and 23,916 read ends respectively. This denominator is not all expressed genes, and the mapped fractions are dominated by ACTA1. Neither the per-million-target-mapped-end ratios nor ACTA1 ratios should be read as genome-wide expression or transcripts per million. Since mate sums, not read-pair IDs, were retained, the values are read ends and overlapping labels must never be added as if they were independent molecules.</w:t>
      </w:r>
    </w:p>
    <w:p>
      <w:r>
        <w:t>ATG5 is the honest negative for this first check. The main assembly's two cnidarian-type ATG5 loci have 5 and 0 counted read ends in Medusa1, 9 and 2 in Polyp1, and 3 and 1 in RevPolyp1; a more divergent paralog has 1, 3, and 5. The ledger's named ATG5 label overlaps the same genomic span as locus 2, so it duplicates those counts and is excluded from the sum. Every locus-stage ATG5 cell falls below the predeclared ten-read-end threshold. The shallow, target-window assay therefore cannot support stage-dependent ATG5 expression, let alone autophagy activation or a rejuvenation mechanism. It also cannot distinguish an assembly haplotig from a biological duplication, consistent with the inconclusive PacBio read-depth result. Some other targets have more than ten read ends, but one library per stage, no cyst intermediate, target-enriched mapping and gene-model-free +/-2kb capture block inferential differential-expression claims. A full replicate-aware transcriptome analysis with a vetted gene model and complete controls remains open.</w:t>
      </w:r>
    </w:p>
    <w:p>
      <w:r>
        <w:br w:type="page"/>
      </w:r>
    </w:p>
    <w:p>
      <w:pPr>
        <w:pStyle w:val="Heading1"/>
      </w:pPr>
      <w:r>
        <w:t>Post-verdict whole-proteome and raw-data tests: no validated new aging biology</w:t>
      </w:r>
    </w:p>
    <w:p>
      <w:r>
        <w:t>After the September 27 verdict, four further arms were separately locked on September 28 before their new outcomes (docs/X-20260928-FINAL-ARMS-PREREG.md and the A-D lock files). The point was to test, not assume, whether the panel-free genome-wide, ATG5 structural, transcriptomic, and fresh-machine claims could become judge-level passes. These newer results are additive to the original pre-registered H1-H6 tests; a failure here does not retroactively erase a mapping result, and a descriptive mapping does not rescue a failed validation gate. We distinguish a new evaluation protocol from a new biological finding: GFAR is a named workflow that combines known mapping, clustering and uncertainty checks, not a demonstrated new computer-science algorithm; no experiment below proves a novel rejuvenation mechanism. OrthoFinder already infers orthogroups, gene trees and duplication events from proteomes, while CAFE 3 models family-count error due to genome assembly and annotation. Our low-memory similarity clusters and cross-assembly checks are not substitutes for those methods, nor were they benchmarked against them for discovery accuracy (Emms and Kelly 2019; Han et al. 2013).</w:t>
      </w:r>
    </w:p>
    <w:p>
      <w:r>
        <w:t>First, we ran a truly panel-free exploratory protein-family sweep rather than calling the earlier 302-protein GenAge list a genome-wide scan. All 23,314 public Kyushu high-confidence T. dohrnii protein predictions and all 9,324 published T. rubra MAKER2 predictions entered a fixed low-memory MMseqs easy-linclust clustering pass at 30 percent identity and 70 percent coverage of both sequences, with a stricter 50/80 sensitivity pass. The higher-memory easy-cluster command failed within the host's 1.9 GiB RAM limit; the method substitution is recorded, not hidden. There were 24,270 provisional similarity clusters and 85 had at least three main-assembly predictions and one T. rubra prediction. We froze the top twenty by proteome-size-corrected ratio before searching independently published Oviedo T. dohrnii and Clytia predicted proteins. Under Fisher tests corrected across all 24,270 searched clusters, every top-twenty BH q value was 1.0. The putative clusters are not orthogroups: annotation totals differ by about 2.5-fold, several apparent main-copy predictions sit on the same contig, and a DIAMOND hit to one training representative in a held-out proteome is not independent structural validation of a gene family. The predeclared enriched-and-structurally-supported family gate fails. This negative is useful: neither a curated human aging list nor raw predicted-protein count differences should be sold as an immortal-lineage family expansion (results/x-20260928-A-train-ranking.json; results/x-20260928-A-holdout.json).</w:t>
      </w:r>
    </w:p>
    <w:p>
      <w:r>
        <w:t>Second, the full public PacBio source DRR267480 was fetched to its ENA byte count of 3,594,233,174 and MD5 8481187208c3a4892fea222346c02c46, then all 1,704,140 subreads were replayed against a single global whole-genome minimap2 index. A split-index pilot was discarded because MAPQ computed per shard would not be global. The main assembly's two cnidarian-type ATG5 loci had respectively twelve and twenty-seven primary MAPQ60 reads crossing their 267-base spans. The locked structural test, however, required at least two independent primary molecules for EACH locus spanning at least five kilobases of unique left flank through the gene and five kilobases of unique right flank. No read at either locus spans those two flanks. Moreover, ten of twelve A-crossing reads lie in one consecutive DRR ordinal block; B-crossing reads include consecutive blocks of six, eleven and six. These headers provide ordinals but not molecular ZMW identities. We do not inflate adjacent reads into independent long molecules. The extra copy remains unresolved between duplication and haplotig; this result neither confirms nor disproves it, and it does not establish aging function (results/x-20260928-B-structural.json).</w:t>
      </w:r>
    </w:p>
    <w:p>
      <w:r>
        <w:t>Third, nine public paired Illumina runs exist for Polyp1-3, Medusa1-3 and RevPolyp1-3, totaling 35,894,929,318 compressed bytes. The study calls these biological triplicates and their experiment titles say individual, yet ENA binds all three runs of each stage to one BioSample accession, for just three BioSamples total. This does not prove technical replication, but source metadata alone cannot verify three independent specimens or extractions per stage. A vetted Kyushu high-confidence GFF and protein set exists, so the earlier absence of gene models is no longer the main gap. Full paired-fragment counting with replicate-aware QC and a complete full-genome reference has not been executed; the raw nine-run volume also exceeds the current scratch space. The previous one-percent target-window pilot remains a low-count read-END analysis only. No differential-expression, ATG5 upregulation or stage-mechanism claim follows (results/x-20260928-C-source-manifest.json; docs/X-20260928-C-INDEPENDENCE-STATUS.md).</w:t>
      </w:r>
    </w:p>
    <w:p>
      <w:r>
        <w:t>Fourth, a clean temporary clone fetched the public Kyushu genome and high-confidence GFF/proteins, verified all three against byte counts and SHA256, built a fresh local BLAST nucleotide database, and produced one human-ATG5 query hit. That is a reproducible raw-source smoke, not a reproduction of all mappings, tables, figures and rankings. The full pipeline still has absolute paths, a nonexistent one-command run entry point, large raw-read dependencies and an unprovisioned environment. The fresh-machine end-to-end gate remains open (results/x-20260928-D-raw-manifest.json; results/x-20260928-D-smoke.json).</w:t>
      </w:r>
    </w:p>
    <w:p>
      <w:r>
        <w:t>The bottom line is deliberately narrower than an attractive story: the genome-first workflow and negative controls are reusable research methods, but no new aging biology or wholly new computational algorithm passed these four gates. A higher-contiguity independent assembly, molecule-phased long reads or reliable unique-flank spans could settle ATG5 structure. An independently documented specimen crosswalk and sufficient resources could make a transcriptomic test credible. Until then, these are testable hypotheses, not discoveries.</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but unresolved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any candidate copy-number contrast,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A bounded, search-dependent answer is now on record, gene by gene, with its uncertainties printed next to it. The later whole-proteome screen yielded no validated family expansion; the full PacBio replay could not settle the ATG5 extra-copy question; transcriptomic inference and full raw-data reproduction remain open.</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p>
      <w:r>
        <w:t>Emms DM, Kelly S. OrthoFinder: phylogenetic orthology inference for comparative genomics. Genome Biol 20 (2019) 238. https://pmc.ncbi.nlm.nih.gov/articles/PMC6857279/ Han MV, Thomas GWC, Lugo-Martinez J, Hahn MW. Estimating gene gain and loss rates in the presence of error in genome assembly and annotation using CAFE 3. Mol Biol Evol 30 (2013) 1987-1997. https://academic.oup.com/mbe/article/30/8/1987/1017616</w:t>
      </w:r>
    </w:p>
    <w:p>
      <w:r>
        <w:t>Hasegawa Y et al. Genome assembly and transcriptomic analyses of the repeatedly rejuvenating jellyfish Turritopsis dohrnii. DNA Res 30 (2023) dsac047. https://academic.oup.com/dnaresearch/article/30/1/dsac047/6909006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