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Lines w:val="0"/>
        <w:jc w:val="center"/>
      </w:pPr>
      <w:r>
        <w:rPr>
          <w:rFonts w:ascii="Times New Roman" w:hAnsi="Times New Roman"/>
          <w:b/>
          <w:sz w:val="26"/>
        </w:rPr>
        <w:t>Genome-first screening of aging and neurodegeneration gene candidates in Turritopsis dohrnii</w:t>
      </w:r>
    </w:p>
    <w:p>
      <w:pPr>
        <w:keepLines w:val="0"/>
        <w:jc w:val="center"/>
      </w:pPr>
      <w:r>
        <w:rPr>
          <w:rFonts w:ascii="Times New Roman" w:hAnsi="Times New Roman"/>
          <w:b w:val="0"/>
          <w:sz w:val="20"/>
        </w:rPr>
        <w:t>Udita Kankana Phookan [confirm spelling, school and all collaborators before submission]</w:t>
      </w:r>
    </w:p>
    <w:p>
      <w:pPr>
        <w:keepLines w:val="0"/>
      </w:pPr>
      <w:r>
        <w:rPr>
          <w:rFonts w:ascii="Times New Roman" w:hAnsi="Times New Roman"/>
          <w:b/>
          <w:sz w:val="20"/>
        </w:rPr>
        <w:t xml:space="preserve">Abstract - </w:t>
      </w:r>
      <w:r>
        <w:rPr>
          <w:rFonts w:ascii="Times New Roman" w:hAnsi="Times New Roman"/>
          <w:b w:val="0"/>
          <w:sz w:val="20"/>
        </w:rPr>
        <w:t>Turritopsis dohrnii can reverse from a medusa to a polyp, but genome similarity alone cannot identify the cause. We searched two T. dohrnii assemblies and three cnidarian comparators for preselected human aging and neurodegeneration genes with a fixed translated-homology pipeline. Twenty of 24 aging and 16 of 24 neurological genes had strong loci in the main assembly. On an annotated Clytia calibration genome, queries from several cnidarians plus humans yielded strong hits for 35 of 47 distinct panel genes versus 27 of 47 using human queries alone. This is a difference in detected-locus yield, not independently measured biological recall. Later whole-proteome, PacBio and RNA checks did not validate a new aging-related gene-family expansion, an extra ATG5 copy, or stage-dependent expression. The output is a bounded coordinate and uncertainty map for future experiments, not a rejuvenation mechanism.</w:t>
      </w:r>
    </w:p>
    <w:p>
      <w:pPr>
        <w:keepLines w:val="0"/>
      </w:pPr>
      <w:r>
        <w:rPr>
          <w:rFonts w:ascii="Times New Roman" w:hAnsi="Times New Roman"/>
          <w:b/>
          <w:sz w:val="20"/>
        </w:rPr>
        <w:t xml:space="preserve">Introduction - </w:t>
      </w:r>
      <w:r>
        <w:rPr>
          <w:rFonts w:ascii="Times New Roman" w:hAnsi="Times New Roman"/>
          <w:b w:val="0"/>
          <w:sz w:val="20"/>
        </w:rPr>
        <w:t>The reported ability of T. dohrnii medusae to return to the polyp stage motivates tests of genome maintenance and neural-plasticity hypotheses [1]. Prior groups published its genome, high-confidence gene models and comparative orthogroups [2,3]. We therefore ask a narrower question: under a fixed search, which selected human aging and neurodegeneration-gene labels yield candidate homologous genomic loci, and how robust are the resulting copy signals? A locus match does not itself establish orthology or conserved function. The separately published Kyushu gene models and independent Oviedo assembly [2,4] make useful challenges: if a mapping call fails against a second assembly or provider-predicted model, the reason must be investigated rather than silently promoted into species biology. Likewise, T. rubra is a valuable near comparator, but two related species cannot isolate lifespan causation.</w:t>
      </w:r>
    </w:p>
    <w:p>
      <w:pPr>
        <w:keepLines w:val="0"/>
      </w:pPr>
      <w:r>
        <w:rPr>
          <w:rFonts w:ascii="Times New Roman" w:hAnsi="Times New Roman"/>
          <w:b/>
          <w:sz w:val="20"/>
        </w:rPr>
        <w:t xml:space="preserve">Methods - Design And Material - </w:t>
      </w:r>
      <w:r>
        <w:rPr>
          <w:rFonts w:ascii="Times New Roman" w:hAnsi="Times New Roman"/>
          <w:b w:val="0"/>
          <w:sz w:val="20"/>
        </w:rPr>
        <w:t>Before outcome searches, the expansion fixed two 24-gene panels, H1-H6 and correction families in its repository [4]. Inputs were two T. dohrnii assemblies (GCA_027922465.2; GCA_025167195.1), T. rubra (GCA_039566895.2), Aurelia aurita (GCA_004194415.1), and annotated Clytia hemisphaerica (GCF_902728285.1). Exact-gene-verified human and cnidarian query proteins were searched with tBLASTn, e-value at most 1e-5. High-scoring pairs for each label within 50 kb on one contig were grouped; a candidate locus was called strong at 100 summed bits. Calls are homology-search signals, not gene models. Frozen controls included shuffled queries and comparison with earlier panel calls. Exploratory validation compared published Kyushu and T. rubra predicted proteomes using low-memory MMseqs; a frozen top 20 was checked against Oviedo T. dohrnii and Clytia predicted proteins, with Benjamini-Hochberg adjustment over every searched cluster. Full public PacBio DRR267480 was mapped to one whole-genome minimap2 index for a predeclared two-flank ATG5 test. A one-percent RNA pilot sampled one run per stage and counted mapped read ends in target-enriched windows; it cannot support differential-expression inference. Code, locks and numeric ledgers are archived in [4]. The two species-level hypotheses and controls were analyzed under the preregistered H1-H6 family; the later panel-free and structure tests were separately locked before their outcomes. This distinction prevents a post-hoc result from acquiring the status of a preregistered discovery. The follow-up tested two proposed ATG5 regions of 267 bases each and required at least two independent primary molecules with MAPQ at least 30 that span both five-kilobase unique flanks at each region. A locus-crossing read alone cannot pass this rule.</w:t>
      </w:r>
    </w:p>
    <w:p>
      <w:pPr>
        <w:keepLines w:val="0"/>
      </w:pPr>
      <w:r>
        <w:rPr>
          <w:rFonts w:ascii="Times New Roman" w:hAnsi="Times New Roman"/>
          <w:b/>
          <w:sz w:val="20"/>
        </w:rPr>
        <w:t xml:space="preserve">Methods - Ai Assistance Disclosure (Review Required) - </w:t>
      </w:r>
      <w:r>
        <w:rPr>
          <w:rFonts w:ascii="Times New Roman" w:hAnsi="Times New Roman"/>
          <w:b w:val="0"/>
          <w:sz w:val="20"/>
        </w:rPr>
        <w:t>AI assistance was used extensively in study planning, code generation, analysis troubleshooting, literature/source triage and manuscript drafting. A signed-in ChatGPT Free account was used for critique and redirection, and Gemini was used in supplementary critique; their responses did not authorize changes to locked outcomes. Automated assistant systems also produced substantial prose, scripts and result summaries. Known verbatim judge prompts and responses are archived in [4], docs/X-JUDGE-ROUNDS.md and docs/X-JUDGE-PROMPTS.md. Verbatim external judge prompts are archived in [4]; the complete prompt/tool/version inventory for all AI-assisted study and writing turns remains to be verified before submission. No AI is listed as an author or cited as a scientific source. The human author must inspect and take responsibility for every claim.</w:t>
      </w:r>
    </w:p>
    <w:p>
      <w:pPr>
        <w:keepLines w:val="0"/>
      </w:pPr>
      <w:r>
        <w:rPr>
          <w:rFonts w:ascii="Times New Roman" w:hAnsi="Times New Roman"/>
          <w:b/>
          <w:sz w:val="20"/>
        </w:rPr>
        <w:t xml:space="preserve">Results - </w:t>
      </w:r>
      <w:r>
        <w:rPr>
          <w:rFonts w:ascii="Times New Roman" w:hAnsi="Times New Roman"/>
          <w:b w:val="0"/>
          <w:sz w:val="20"/>
        </w:rPr>
        <w:t>The main T. dohrnii assembly gave strong loci for 20/24 aging and 16/24 neurological labels [4]. This is conditional on preselected, conserved-gene panels and is not a species-specific enrichment claim. A paired Clytia calibration yielded 35/47 distinct labels with human-plus-cnidarian queries versus 27/47 with human-only queries; the eight extra calls are not verified true-positive recoveries. The negative shuffled-query control produced no strong loci in the five initial genomes. The earlier positive panel control reproduced 52/60 calls, with eight gains from the expanded query set and no losses [4]. The preregistered aging-panel copy contrast had no gene surviving multiple-test correction; the species-separation statistic was -0.013 (exact p=0.5) [4]. These negatives bound interpretation of the positive locus map. The mapped aging fraction is high relative to the scrambled-sequence control, but that control asks whether random protein strings create false hits, not whether the selected aging labels are unusually represented among real conserved genes. A separate 23-gene non-aging decoy yielded strong hits in 8-10 genes depending on genome [4], showing genuine background conservation. A fragmented-genome simulation also lost 2 of 39 detectable genes, so non-detection in a poorer assembly cannot establish evolutionary loss [4].</w:t>
      </w:r>
    </w:p>
    <w:p>
      <w:pPr>
        <w:keepLines w:val="0"/>
      </w:pPr>
      <w:r>
        <w:rPr>
          <w:rFonts w:ascii="Times New Roman" w:hAnsi="Times New Roman"/>
          <w:b/>
          <w:sz w:val="20"/>
        </w:rPr>
        <w:t xml:space="preserve">Exploratory Validation And Discussion - </w:t>
      </w:r>
      <w:r>
        <w:rPr>
          <w:rFonts w:ascii="Times New Roman" w:hAnsi="Times New Roman"/>
          <w:b w:val="0"/>
          <w:sz w:val="20"/>
        </w:rPr>
        <w:t>The all-protein T. dohrnii/T. rubra sweep produced 24,270 provisional similarity clusters; all frozen top-20 clusters had all-cluster adjusted q=1.0. Different annotation totals and unverified orthology prevent a new family-expansion claim [4]. In all 1,704,140 public PacBio subreads, 12 and 27 primary MAPQ60 reads crossed the two putative cnidarian-type ATG5 spans, but zero at either span covered at least 5 kb of unique sequence on BOTH flanks. Consecutive read ordinals could not establish independent molecules; the proposed extra ATG5 copy remains unresolved, not disproved [4]. Nine paired stage RNA runs share one BioSample accession per stage, and no primary run-to-distinct-extraction crosswalk was verified; the sparse target-window pilot cannot establish stage-specific ATG5 expression [4]. A clean-clone source/hash and one-query BLAST smoke passed, not full raw-data reproduction. Kyushu's independent gene models and earlier OrthoFinder analysis [2] rule out a claim of first annotation; standard orthogroup and family-count methods already exist [3,5]. The useful result is a checkable set of candidate coordinates and explicit evidence grades, rather than a single success label. BLAST hits identify sequence similarity; multiple query species improve search sensitivity; independent assembly agreement gives further confidence; but neither a high score nor an a second aligner searching the same assembly resolves a duplication. Published T. dohrnii and T. rubra proteomes differ strongly in prediction totals, which can distort family-count tests. Within this limit, the panel-free q=1.0 result is a true failure of its frozen enrichment gate, not evidence that all species differ only trivially. The PacBio zero-flank result is a failure of coverage at the required molecular scale, not a proof that the extra ATG5 sequence is an artifact. Both kinds of negative identify exactly what independent evidence a later experiment needs. Future work requires independent molecular structure, specimen-grounded whole-transcriptome counts, and a portable full raw pipeline before any mechanistic conclusion. A future specimen-grounded comparison should count whole-transcriptome fragments against a vetted gene model and compare normal polyp, medusa, cyst and reversed polyp without assuming that multiple runs sharing a BioSample are independent animals. A 2025 preprint already profiled these four stages for selected gene families [6], so a new test would require an independently validated, prespecified contrast rather than repeating its stage plots. A future structural study should use phased long molecules or a high-contiguity independently produced assembly. Until those checks pass, the genomic atlas supports follow-up choices, not biomarkers of human aging.</w:t>
      </w:r>
    </w:p>
    <w:p>
      <w:pPr>
        <w:keepLines w:val="0"/>
      </w:pPr>
      <w:r>
        <w:rPr>
          <w:rFonts w:ascii="Times New Roman" w:hAnsi="Times New Roman"/>
          <w:b/>
          <w:sz w:val="20"/>
        </w:rPr>
        <w:t xml:space="preserve">Acknowledgments (Review Required) - </w:t>
      </w:r>
      <w:r>
        <w:rPr>
          <w:rFonts w:ascii="Times New Roman" w:hAnsi="Times New Roman"/>
          <w:b w:val="0"/>
          <w:sz w:val="20"/>
        </w:rPr>
        <w:t>Public genome and read data were provided by their source laboratories and archives [1,2,4]. AI assistance as disclosed in Methods materially shaped the research and writing. [Human collaborators, mentor and funding to confirm with primary author.]</w:t>
      </w:r>
    </w:p>
    <w:p>
      <w:pPr>
        <w:keepLines w:val="0"/>
      </w:pPr>
      <w:r>
        <w:rPr>
          <w:rFonts w:ascii="Times New Roman" w:hAnsi="Times New Roman"/>
          <w:b/>
          <w:sz w:val="20"/>
        </w:rPr>
        <w:t>References:</w:t>
        <w:br/>
        <w:t>[1] M. Pascual-Torner Et Al., “Comparative Genomics Of Mortal And Immortal Cnidarians Unveils Novel Keys Behind Rejuvenation,” Pnas 119, E2118763119 (2022), Https://Www.Pnas.Org/Doi/10.1073/Pnas.2118763119.</w:t>
        <w:br/>
        <w:t>[2] Y. Hasegawa Et Al., “Genome Assembly And Transcriptomic Analyses Of The Repeatedly Rejuvenating Jellyfish Turritopsis Dohrnii,” Dna Research 30, Dsac047 (2023), Https://Academic.Oup.Com/Dnaresearch/Article/30/1/Dsac047/6909006.</w:t>
        <w:br/>
        <w:t xml:space="preserve">[3] D. M. Emms And S. Kelly, “Orthofinder - </w:t>
      </w:r>
      <w:r>
        <w:rPr>
          <w:rFonts w:ascii="Times New Roman" w:hAnsi="Times New Roman"/>
          <w:b w:val="0"/>
          <w:sz w:val="20"/>
        </w:rPr>
        <w:t>phylogenetic orthology inference for comparative genomics,” Genome Biology 20, 238 (2019), https://pmc.ncbi.nlm.nih.gov/articles/PMC6857279/.</w:t>
        <w:br/>
        <w:t>[4] 26b project repository, dated preregistration, source manifests, code and result ledgers, https://github.com/uditakankananononono/mega27-26b-immortal-jellyfish-genomics (accessed September 29, 2026).</w:t>
        <w:br/>
        <w:t>[5] M. V. Han et al., “Estimating gene gain and loss rates in the presence of error in genome assembly and annotation using CAFE 3,” Molecular Biology and Evolution 30, 1987-1997 (2013), https://academic.oup.com/mbe/article/30/8/1987/1017616.</w:t>
        <w:br/>
        <w:t>[6] Y. Matsumoto and M. P. Miglietta, “The genetic networks of regeneration, cell plasticity, and longevity of the immortal jellyfish Turritopsis dohrnii,” bioRxiv (2025), https://www.biorxiv.org/content/10.1101/2025.07.02.660568v1.full-text.</w:t>
      </w:r>
    </w:p>
    <w:sectPr>
      <w:headerReference r:id="rId9" w:type="default"/>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S Mincho"/>
  <w:font w:name="Courier New"/>
  <w:font w:name="Symbol"/>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*Research supported by ABC Foundation.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A. Author is with the National Institute of Standards and Technology, Boulder, CO 80305 USA (corresponding author to e-mail: author@ boulder.nist.gov).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B. Author, Jr., was with Rice University, Houston, TX 77005 USA. He is now with the Department of Physics, Colorado State University, Fort Collins, CO 80523 USA (e-mail: author@lamar. colostate.edu).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vertAlign w:val="baseline"/>
      </w:rPr>
    </w:pPr>
    <w:r w:rsidDel="00000000" w:rsidR="00000000" w:rsidRPr="00000000">
      <w:rPr>
        <w:rtl w:val="0"/>
      </w:rPr>
    </w:r>
  </w:p>
  <w:p w:rsidR="00000000" w:rsidDel="00000000" w:rsidP="00000000" w:rsidRDefault="00000000" w:rsidRPr="00000000" w14:paraId="00000035">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Figure %1. "/>
      <w:lvlJc w:val="left"/>
      <w:pPr>
        <w:ind w:left="0" w:firstLine="0"/>
      </w:pPr>
      <w:rPr>
        <w:rFonts w:ascii="Times New Roman" w:cs="Times New Roman" w:eastAsia="Times New Roman" w:hAnsi="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pPr>
      <w:spacing w:line="228" w:lineRule="auto" w:after="80"/>
    </w:pPr>
    <w:rPr>
      <w:rFonts w:ascii="Times New Roman" w:hAnsi="Times New Roman"/>
      <w:b w:val="0"/>
      <w:sz w:val="20"/>
    </w:rPr>
  </w:style>
  <w:style w:type="table" w:styleId="TableNormal" w:default="1">
    <w:name w:val="Table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vertAlign w:val="baseline"/>
    </w:rPr>
  </w:style>
  <w:style w:type="paragraph" w:styleId="Heading3">
    <w:name w:val="heading 3"/>
    <w:basedOn w:val="Normal"/>
    <w:next w:val="Normal"/>
    <w:pPr>
      <w:keepNext w:val="1"/>
      <w:ind w:left="288"/>
    </w:pPr>
    <w:rPr>
      <w:i w:val="1"/>
      <w:vertAlign w:val="baseline"/>
    </w:rPr>
  </w:style>
  <w:style w:type="paragraph" w:styleId="Heading4">
    <w:name w:val="heading 4"/>
    <w:basedOn w:val="Normal"/>
    <w:next w:val="Normal"/>
    <w:pPr>
      <w:keepNext w:val="1"/>
      <w:spacing w:after="60" w:before="240" w:lineRule="auto"/>
      <w:ind w:left="1152" w:hanging="720"/>
    </w:pPr>
    <w:rPr>
      <w:i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sz w:val="16"/>
      <w:szCs w:val="16"/>
      <w:vertAlign w:val="baseline"/>
    </w:rPr>
  </w:style>
  <w:style w:type="paragraph" w:styleId="Title">
    <w:name w:val="Title"/>
    <w:basedOn w:val="Normal"/>
    <w:next w:val="Normal"/>
    <w:pPr>
      <w:spacing w:before="360" w:lineRule="auto"/>
      <w:jc w:val="center"/>
    </w:pPr>
    <w:rPr>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jsjournal.or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