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of which two are detected independently by all three cnidarian query species and the third by the verified human ATG5 query - its mortal sister T. rubra carries exactly one fewer locus in each query class (one cnidarian-detected, one human-detected), so both query classes agree on one extra ATG5-family copy in the immortal lineage;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detected by all three cnidarian query species with the same best-hit statistics (total bits 455.0 and 452.0, query coverage 0.69), plus a third, more diverged ATG5-family locus detected only by the verified human query (301 bits). Its sister mortal species T. rubra has exactly one locus in each class (453 cnidarian-detected, 300 human-detected) - one fewer than T. dohrnii in each.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duplication claim therefore rests on what has already been shown - concordant copy counting across two assemblies and two query classes, reciprocal-best-hit orthology, and purifying selection on the locus - and not on neighborhood conservation, which this organism's genome does not preserve at this scale.</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