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main public gene database search returned few usable gene-level records for this assembly, though its genome provider does publish high-confidence gene models. That mismatch makes a raw-assembly search useful, not a claim that annotations do not exist.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where the assemblies show possible counterparts, copy-number signals, or no detectable strong hit in a fixed search. A matching sequence is a candidate to study, not evidence that the animal uses it to rejuvenate; a missing hit is not proof that the gene is absent. The possible extra ATG5 copy could not be settled with the public long reads.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r>
        <w:t>A later all-protein comparison did not validate a newly expanded family, and a three-stage RNA pilot was too sparse to show a reliable expression change. The new long-read test also did not settle ATG5 copy structure. These limits matter: this report is a transparent map and a set of testable leads, not a discovered cause of aging reversal or a proven new algorithm.</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This expansion connects jellyfish genomics to aging and longevity research and to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exploratory candidates are named loci whose detection or apparent copy-number pattern can be tested across assemblies and relatives; none is a validated biomarker of rejuvenation. The orthogonal verification arms are assembly replication, negative controls, annotated-genome calibration, and panel-versus-panel contrasts. The translational perspective is a literature connection to human aging and neurodegeneration biology; it neither establishes conserved function nor verifies a therapeutic target in this species.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a broader candidate yield, not panel-free discovery.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outside the curated 47-gene panel but still selected by GenAge; they are what a broader sweep of the aging-gene list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r>
        <w:br w:type="page"/>
      </w:r>
    </w:p>
    <w:p>
      <w:pPr>
        <w:pStyle w:val="Heading1"/>
      </w:pPr>
      <w:r>
        <w:t>Post-verdict whole-proteome and raw-data tests: no validated new aging biology</w:t>
      </w:r>
    </w:p>
    <w:p>
      <w:r>
        <w:t>After the September 27 verdict, four further arms were separately locked on September 28 before their new outcomes (docs/X-20260928-FINAL-ARMS-PREREG.md and the A-D lock files). The point was to test, not assume, whether the panel-free genome-wide, ATG5 structural, transcriptomic, and fresh-machine claims could become judge-level passes. These newer results are additive to the original pre-registered H1-H6 tests; a failure here does not retroactively erase a mapping result, and a descriptive mapping does not rescue a failed validation gate. We distinguish a new evaluation protocol from a new biological finding: GFAR is a named workflow that combines known mapping, clustering and uncertainty checks, not a demonstrated new computer-science algorithm; no experiment below proves a novel rejuvenation mechanism. OrthoFinder already infers orthogroups, gene trees and duplication events from proteomes, while CAFE 3 models family-count error due to genome assembly and annotation. Our low-memory similarity clusters and cross-assembly checks are not substitutes for those methods, nor were they benchmarked against them for discovery accuracy (Emms and Kelly 2019; Han et al. 2013).</w:t>
      </w:r>
    </w:p>
    <w:p>
      <w:r>
        <w:t>First, we ran a truly panel-free exploratory protein-family sweep rather than calling the earlier 302-protein GenAge list a genome-wide scan. All 23,314 public Kyushu high-confidence T. dohrnii protein predictions and all 9,324 published T. rubra MAKER2 predictions entered a fixed low-memory MMseqs easy-linclust clustering pass at 30 percent identity and 70 percent coverage of both sequences, with a stricter 50/80 sensitivity pass. The higher-memory easy-cluster command failed within the host's 1.9 GiB RAM limit; the method substitution is recorded, not hidden. There were 24,270 provisional similarity clusters and 85 had at least three main-assembly predictions and one T. rubra prediction. We froze the top twenty by proteome-size-corrected ratio before searching independently published Oviedo T. dohrnii and Clytia predicted proteins. Under Fisher tests corrected across all 24,270 searched clusters, every top-twenty BH q value was 1.0. The putative clusters are not orthogroups: annotation totals differ by about 2.5-fold, several apparent main-copy predictions sit on the same contig, and a DIAMOND hit to one training representative in a held-out proteome is not independent structural validation of a gene family. The predeclared enriched-and-structurally-supported family gate fails. This negative is useful: neither a curated human aging list nor raw predicted-protein count differences should be sold as an immortal-lineage family expansion (results/x-20260928-A-train-ranking.json; results/x-20260928-A-holdout.json).</w:t>
      </w:r>
    </w:p>
    <w:p>
      <w:r>
        <w:t>Second, the full public PacBio source DRR267480 was fetched to its ENA byte count of 3,594,233,174 and MD5 8481187208c3a4892fea222346c02c46, then all 1,704,140 subreads were replayed against a single global whole-genome minimap2 index. A split-index pilot was discarded because MAPQ computed per shard would not be global. The main assembly's two cnidarian-type ATG5 loci had respectively twelve and twenty-seven primary MAPQ60 reads crossing their 267-base spans. The locked structural test, however, required at least two independent primary molecules for EACH locus spanning at least five kilobases of unique left flank through the gene and five kilobases of unique right flank. No read at either locus spans those two flanks. Moreover, ten of twelve A-crossing reads lie in one consecutive DRR ordinal block; B-crossing reads include consecutive blocks of six, eleven and six. These headers provide ordinals but not molecular ZMW identities. We do not inflate adjacent reads into independent long molecules. The extra copy remains unresolved between duplication and haplotig; this result neither confirms nor disproves it, and it does not establish aging function (results/x-20260928-B-structural.json).</w:t>
      </w:r>
    </w:p>
    <w:p>
      <w:r>
        <w:t>Third, nine public paired Illumina runs exist for Polyp1-3, Medusa1-3 and RevPolyp1-3, totaling 35,894,929,318 compressed bytes. The study calls these biological triplicates and their experiment titles say individual, yet ENA binds all three runs of each stage to one BioSample accession, for just three BioSamples total. This does not prove technical replication, but source metadata alone cannot verify three independent specimens or extractions per stage. A vetted Kyushu high-confidence GFF and protein set exists, so the earlier absence of gene models is no longer the main gap. Full paired-fragment counting with replicate-aware QC and a complete full-genome reference has not been executed; the raw nine-run volume also exceeds the current scratch space. The previous one-percent target-window pilot remains a low-count read-END analysis only. No differential-expression, ATG5 upregulation or stage-mechanism claim follows (results/x-20260928-C-source-manifest.json; docs/X-20260928-C-INDEPENDENCE-STATUS.md).</w:t>
      </w:r>
    </w:p>
    <w:p>
      <w:r>
        <w:t>Fourth, a clean temporary clone fetched the public Kyushu genome and high-confidence GFF/proteins, verified all three against byte counts and SHA256, built a fresh local BLAST nucleotide database, and produced one human-ATG5 query hit. That is a reproducible raw-source smoke, not a reproduction of all mappings, tables, figures and rankings. The full pipeline still has absolute paths, a nonexistent one-command run entry point, large raw-read dependencies and an unprovisioned environment. The fresh-machine end-to-end gate remains open (results/x-20260928-D-raw-manifest.json; results/x-20260928-D-smoke.json).</w:t>
      </w:r>
    </w:p>
    <w:p>
      <w:r>
        <w:t>The bottom line is deliberately narrower than an attractive story: the genome-first workflow and negative controls are reusable research methods, but no new aging biology or wholly new computational algorithm passed these four gates. A higher-contiguity independent assembly, molecule-phased long reads or reliable unique-flank spans could settle ATG5 structure. An independently documented specimen crosswalk and sufficient resources could make a transcriptomic test credible. Until then, these are testable hypotheses, not discoveries.</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but unresolved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any candidate copy-number contrast,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A bounded, search-dependent answer is now on record, gene by gene, with its uncertainties printed next to it. The later whole-proteome screen yielded no validated family expansion; the full PacBio replay could not settle the ATG5 extra-copy question; transcriptomic inference and full raw-data reproduction remain open.</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p>
      <w:r>
        <w:t>Emms DM, Kelly S. OrthoFinder: phylogenetic orthology inference for comparative genomics. Genome Biol 20 (2019) 238. https://pmc.ncbi.nlm.nih.gov/articles/PMC6857279/ Han MV, Thomas GWC, Lugo-Martinez J, Hahn MW. Estimating gene gain and loss rates in the presence of error in genome assembly and annotation using CAFE 3. Mol Biol Evol 30 (2013) 1987-1997. https://academic.oup.com/mbe/article/30/8/1987/1017616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