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an inconclusive PacBio read-depth test (copy A 0.817x, copy B 1.310x genome-wide median; neither uniform half-depth nor uniform full-depth),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all confirm ATG5/ATG7/BECN1 as lifespan-relevant and physically associated; step 3 (extension-genome contrast) PASSED WITH NARROWING - the comparative observation survives but the copy-number claim remains unconfirmed, with signal quality discussed separately; step 4 (PacBio raw-read confirmation) was executed but INCONCLUSIVE; stage-specific RNA-seq expression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panel's mapping results are not an artifact of any single search algorithm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ATG5-matching loci (the extra copy remains unconfirmed)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The unbiased genome-wide arm: all of GenAge through the same pipeline</w:t>
      </w:r>
    </w:p>
    <w:p>
      <w:r>
        <w:t>Judge weakness 16 asked for a panel-free discovery arm: if the pipeline only ever sees the genes we chose to look for, every enrichment claim is circular. We therefore fetched the complete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genome-wide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genome-wide arm confirms the score measures conservation evidence, not panel membership.</w:t>
      </w:r>
    </w:p>
    <w:p>
      <w:r>
        <w:t>The second initial-phase result was the discovery yield the amendment asked for.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not panel-chosen narratives; they are what a broader GenAge sweep of the aging-gene universe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genome-wide candidate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Exploratory life-stage RNA-seq check: low counts limit the ATG5 claim</w:t>
      </w:r>
    </w:p>
    <w:p>
      <w:r>
        <w:t>The 26b judge amendment requested a transcriptomic check. The source study PRJNA603209 supplies paired Illumina RNA-seq for three life stages, each with biological triplicates. For a RAM-bounded exploratory first pass, we selected one source-verified library from each stage: Medusa1 (SRR10967540), Polyp1 (SRR10967543), and reverted-polyp RevPolyp1 (SRR10967537). The six complete gzip mates total 11.687 billion bytes (about 10.9 GiB) and match ENA's compressed-byte sizes and read-pair counts. Before looking at this run's counts, we locked a systematic one-percent subsample, every hundredth original pair starting with the first, and used the same ordinals in each mate. This design is not a randomized trial, a biological replicate, or a differential-expression analysis. The stage labels were checked against ENA experiment titles, not guessed from read accessions (docs/X-RNASEQ-SAMPLING-LOCK.md; results/x-rnaseq-sample1pct.json).</w:t>
      </w:r>
    </w:p>
    <w:p>
      <w:r>
        <w:t>The targeted reference comprises thirty-seven merged genome windows around forty candidate labels including the ACTA1 comparison locus, with five kilobases of flanking sequence per locus. We mapped short reads with minimap2's short-read preset, retained primary alignments at MAPQ at least 20, and counted read ends overlapping a candidate span within two kilobases. Ten-thousand-read chunks checkpointed after successful mapping. Medusa1 yielded 273,495 sampled pairs and 47,573 primary mapped read ends to this target-enriched reference; Polyp1 yielded 201,006 pairs and 18,737 mapped read ends; RevPolyp1 yielded 258,580 pairs and 26,008 mapped read ends. Of these, ACTA1 accounts for 43,604, 15,931, and 23,916 read ends respectively. This denominator is not all expressed genes, and the mapped fractions are dominated by ACTA1. Neither the per-million-target-mapped-end ratios nor ACTA1 ratios should be read as genome-wide expression or transcripts per million. Since mate sums, not read-pair IDs, were retained, the values are read ends and overlapping labels must never be added as if they were independent molecules.</w:t>
      </w:r>
    </w:p>
    <w:p>
      <w:r>
        <w:t>ATG5 is the honest negative for this first check. The main assembly's two cnidarian-type ATG5 loci have 5 and 0 counted read ends in Medusa1, 9 and 2 in Polyp1, and 3 and 1 in RevPolyp1; a more divergent paralog has 1, 3, and 5. The ledger's named ATG5 label overlaps the same genomic span as locus 2, so it duplicates those counts and is excluded from the sum. Every locus-stage ATG5 cell falls below the predeclared ten-read-end threshold. The shallow, target-window assay therefore cannot support stage-dependent ATG5 expression, let alone autophagy activation or a rejuvenation mechanism. It also cannot distinguish an assembly haplotig from a biological duplication, consistent with the inconclusive PacBio read-depth result. Some other targets have more than ten read ends, but one library per stage, no cyst intermediate, target-enriched mapping and gene-model-free +/-2kb capture block inferential differential-expression claims. A full replicate-aware transcriptome analysis with a vetted gene model and complete controls remains open.</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